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3390" w:rsidRDefault="00AE2941">
      <w:pPr>
        <w:spacing w:before="120"/>
        <w:jc w:val="center"/>
        <w:outlineLvl w:val="0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银行审计</w:t>
      </w:r>
      <w:proofErr w:type="gramStart"/>
      <w:r>
        <w:rPr>
          <w:rFonts w:ascii="Times New Roman" w:eastAsia="华文中宋" w:hAnsi="Times New Roman" w:hint="eastAsia"/>
          <w:b/>
          <w:sz w:val="44"/>
          <w:szCs w:val="44"/>
        </w:rPr>
        <w:t>函</w:t>
      </w:r>
      <w:bookmarkStart w:id="0" w:name="_GoBack"/>
      <w:bookmarkEnd w:id="0"/>
      <w:r>
        <w:rPr>
          <w:rFonts w:ascii="Times New Roman" w:eastAsia="华文中宋" w:hAnsi="Times New Roman" w:hint="eastAsia"/>
          <w:b/>
          <w:sz w:val="44"/>
          <w:szCs w:val="44"/>
        </w:rPr>
        <w:t>证数据</w:t>
      </w:r>
      <w:proofErr w:type="gramEnd"/>
      <w:r w:rsidR="000E3987">
        <w:rPr>
          <w:rFonts w:ascii="Times New Roman" w:eastAsia="华文中宋" w:hAnsi="Times New Roman" w:hint="eastAsia"/>
          <w:b/>
          <w:sz w:val="44"/>
          <w:szCs w:val="44"/>
        </w:rPr>
        <w:t>标准</w:t>
      </w:r>
      <w:r>
        <w:rPr>
          <w:rFonts w:ascii="Times New Roman" w:eastAsia="华文中宋" w:hAnsi="Times New Roman"/>
          <w:b/>
          <w:sz w:val="44"/>
          <w:szCs w:val="44"/>
        </w:rPr>
        <w:t>编报规则</w:t>
      </w:r>
    </w:p>
    <w:p w:rsidR="00A43390" w:rsidRDefault="00AE2941">
      <w:pPr>
        <w:spacing w:before="360" w:afterLines="50" w:after="156"/>
        <w:jc w:val="center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第一章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总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则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为规范采用可扩展商业报告语言（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）编报银行</w:t>
      </w: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数字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函证及</w:t>
      </w:r>
      <w:proofErr w:type="gramEnd"/>
      <w:r>
        <w:rPr>
          <w:rFonts w:ascii="Times New Roman" w:eastAsia="仿宋_GB2312" w:hAnsi="Times New Roman" w:hint="eastAsia"/>
          <w:kern w:val="0"/>
          <w:sz w:val="28"/>
          <w:szCs w:val="28"/>
        </w:rPr>
        <w:t>回函</w:t>
      </w:r>
      <w:r>
        <w:rPr>
          <w:rFonts w:ascii="Times New Roman" w:eastAsia="仿宋_GB2312" w:hAnsi="Times New Roman"/>
          <w:kern w:val="0"/>
          <w:sz w:val="28"/>
          <w:szCs w:val="28"/>
        </w:rPr>
        <w:t>行为，保证以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格式编报的</w:t>
      </w:r>
      <w:proofErr w:type="gramStart"/>
      <w:r>
        <w:rPr>
          <w:rFonts w:ascii="Times New Roman" w:eastAsia="仿宋_GB2312" w:hAnsi="Times New Roman" w:hint="eastAsia"/>
          <w:kern w:val="0"/>
          <w:sz w:val="28"/>
          <w:szCs w:val="28"/>
        </w:rPr>
        <w:t>银行函证及</w:t>
      </w:r>
      <w:proofErr w:type="gramEnd"/>
      <w:r>
        <w:rPr>
          <w:rFonts w:ascii="Times New Roman" w:eastAsia="仿宋_GB2312" w:hAnsi="Times New Roman" w:hint="eastAsia"/>
          <w:kern w:val="0"/>
          <w:sz w:val="28"/>
          <w:szCs w:val="28"/>
        </w:rPr>
        <w:t>回函</w:t>
      </w:r>
      <w:r>
        <w:rPr>
          <w:rFonts w:ascii="Times New Roman" w:eastAsia="仿宋_GB2312" w:hAnsi="Times New Roman"/>
          <w:kern w:val="0"/>
          <w:sz w:val="28"/>
          <w:szCs w:val="28"/>
        </w:rPr>
        <w:t>质量，根据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《银行函证及回函工作操作指引》（财办会〔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〕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号）</w:t>
      </w:r>
      <w:r>
        <w:rPr>
          <w:rFonts w:ascii="Times New Roman" w:eastAsia="仿宋_GB2312" w:hAnsi="Times New Roman"/>
          <w:kern w:val="0"/>
          <w:sz w:val="28"/>
          <w:szCs w:val="28"/>
        </w:rPr>
        <w:t>、《可扩展商业报告语言（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）技术规范》（</w:t>
      </w:r>
      <w:r>
        <w:rPr>
          <w:rFonts w:ascii="Times New Roman" w:eastAsia="仿宋_GB2312" w:hAnsi="Times New Roman"/>
          <w:kern w:val="0"/>
          <w:sz w:val="28"/>
          <w:szCs w:val="28"/>
        </w:rPr>
        <w:t>GB/T 25500-2010</w:t>
      </w:r>
      <w:r>
        <w:rPr>
          <w:rFonts w:ascii="Times New Roman" w:eastAsia="仿宋_GB2312" w:hAnsi="Times New Roman"/>
          <w:kern w:val="0"/>
          <w:sz w:val="28"/>
          <w:szCs w:val="28"/>
        </w:rPr>
        <w:t>）系列国家标准、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《银行审计函证数据标准》</w:t>
      </w:r>
      <w:r>
        <w:rPr>
          <w:rFonts w:ascii="Times New Roman" w:eastAsia="仿宋_GB2312" w:hAnsi="Times New Roman"/>
          <w:kern w:val="0"/>
          <w:sz w:val="28"/>
          <w:szCs w:val="28"/>
        </w:rPr>
        <w:t>，制定本规则。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按照银行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kern w:val="0"/>
          <w:sz w:val="28"/>
          <w:szCs w:val="28"/>
        </w:rPr>
        <w:t>标准编制的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格式的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银行</w:t>
      </w:r>
      <w:proofErr w:type="gramStart"/>
      <w:r>
        <w:rPr>
          <w:rFonts w:ascii="Times New Roman" w:eastAsia="仿宋_GB2312" w:hAnsi="Times New Roman" w:hint="eastAsia"/>
          <w:kern w:val="0"/>
          <w:sz w:val="28"/>
          <w:szCs w:val="28"/>
        </w:rPr>
        <w:t>数字函证及</w:t>
      </w:r>
      <w:proofErr w:type="gramEnd"/>
      <w:r>
        <w:rPr>
          <w:rFonts w:ascii="Times New Roman" w:eastAsia="仿宋_GB2312" w:hAnsi="Times New Roman" w:hint="eastAsia"/>
          <w:kern w:val="0"/>
          <w:sz w:val="28"/>
          <w:szCs w:val="28"/>
        </w:rPr>
        <w:t>回函</w:t>
      </w:r>
      <w:r>
        <w:rPr>
          <w:rFonts w:ascii="Times New Roman" w:eastAsia="仿宋_GB2312" w:hAnsi="Times New Roman"/>
          <w:kern w:val="0"/>
          <w:sz w:val="28"/>
          <w:szCs w:val="28"/>
        </w:rPr>
        <w:t>称为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数字函证</w:t>
      </w:r>
      <w:r>
        <w:rPr>
          <w:rFonts w:ascii="Times New Roman" w:eastAsia="仿宋_GB2312" w:hAnsi="Times New Roman"/>
          <w:kern w:val="0"/>
          <w:sz w:val="28"/>
          <w:szCs w:val="28"/>
        </w:rPr>
        <w:t>实例文档，简称实例文档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，应当遵循本规则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以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格式编报银行</w:t>
      </w: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数字函证时</w:t>
      </w:r>
      <w:proofErr w:type="gramEnd"/>
      <w:r>
        <w:rPr>
          <w:rFonts w:ascii="Times New Roman" w:eastAsia="仿宋_GB2312" w:hAnsi="Times New Roman"/>
          <w:kern w:val="0"/>
          <w:sz w:val="28"/>
          <w:szCs w:val="28"/>
        </w:rPr>
        <w:t>，应当遵循最新版本的《可扩展商业报告语言（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）技术规范第</w:t>
      </w:r>
      <w:r>
        <w:rPr>
          <w:rFonts w:ascii="Times New Roman" w:eastAsia="仿宋_GB2312" w:hAnsi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/>
          <w:kern w:val="0"/>
          <w:sz w:val="28"/>
          <w:szCs w:val="28"/>
        </w:rPr>
        <w:t>部分：基础》（</w:t>
      </w:r>
      <w:r>
        <w:rPr>
          <w:rFonts w:ascii="Times New Roman" w:eastAsia="仿宋_GB2312" w:hAnsi="Times New Roman"/>
          <w:kern w:val="0"/>
          <w:sz w:val="28"/>
          <w:szCs w:val="28"/>
        </w:rPr>
        <w:t>GB/T 25500.1-2010</w:t>
      </w:r>
      <w:r>
        <w:rPr>
          <w:rFonts w:ascii="Times New Roman" w:eastAsia="仿宋_GB2312" w:hAnsi="Times New Roman"/>
          <w:kern w:val="0"/>
          <w:sz w:val="28"/>
          <w:szCs w:val="28"/>
        </w:rPr>
        <w:t>）、《可扩展商业报告语言（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）技术规范第</w:t>
      </w:r>
      <w:r>
        <w:rPr>
          <w:rFonts w:ascii="Times New Roman" w:eastAsia="仿宋_GB2312" w:hAnsi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/>
          <w:kern w:val="0"/>
          <w:sz w:val="28"/>
          <w:szCs w:val="28"/>
        </w:rPr>
        <w:t>部分：维度》（</w:t>
      </w:r>
      <w:r>
        <w:rPr>
          <w:rFonts w:ascii="Times New Roman" w:eastAsia="仿宋_GB2312" w:hAnsi="Times New Roman"/>
          <w:kern w:val="0"/>
          <w:sz w:val="28"/>
          <w:szCs w:val="28"/>
        </w:rPr>
        <w:t>GB/T 25500.2-2010</w:t>
      </w:r>
      <w:r>
        <w:rPr>
          <w:rFonts w:ascii="Times New Roman" w:eastAsia="仿宋_GB2312" w:hAnsi="Times New Roman"/>
          <w:kern w:val="0"/>
          <w:sz w:val="28"/>
          <w:szCs w:val="28"/>
        </w:rPr>
        <w:t>）、《可扩展商业报告语言（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）技术规范第</w:t>
      </w:r>
      <w:r>
        <w:rPr>
          <w:rFonts w:ascii="Times New Roman" w:eastAsia="仿宋_GB2312" w:hAnsi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/>
          <w:kern w:val="0"/>
          <w:sz w:val="28"/>
          <w:szCs w:val="28"/>
        </w:rPr>
        <w:t>部分：公式》（</w:t>
      </w:r>
      <w:r>
        <w:rPr>
          <w:rFonts w:ascii="Times New Roman" w:eastAsia="仿宋_GB2312" w:hAnsi="Times New Roman"/>
          <w:kern w:val="0"/>
          <w:sz w:val="28"/>
          <w:szCs w:val="28"/>
        </w:rPr>
        <w:t>GB/T 25500.3-2010</w:t>
      </w:r>
      <w:r>
        <w:rPr>
          <w:rFonts w:ascii="Times New Roman" w:eastAsia="仿宋_GB2312" w:hAnsi="Times New Roman"/>
          <w:kern w:val="0"/>
          <w:sz w:val="28"/>
          <w:szCs w:val="28"/>
        </w:rPr>
        <w:t>）、《可扩展商业报告语言（</w:t>
      </w:r>
      <w:r>
        <w:rPr>
          <w:rFonts w:ascii="Times New Roman" w:eastAsia="仿宋_GB2312" w:hAnsi="Times New Roman"/>
          <w:kern w:val="0"/>
          <w:sz w:val="28"/>
          <w:szCs w:val="28"/>
        </w:rPr>
        <w:t>XBRL</w:t>
      </w:r>
      <w:r>
        <w:rPr>
          <w:rFonts w:ascii="Times New Roman" w:eastAsia="仿宋_GB2312" w:hAnsi="Times New Roman"/>
          <w:kern w:val="0"/>
          <w:sz w:val="28"/>
          <w:szCs w:val="28"/>
        </w:rPr>
        <w:t>）技术规范第</w:t>
      </w:r>
      <w:r>
        <w:rPr>
          <w:rFonts w:ascii="Times New Roman" w:eastAsia="仿宋_GB2312" w:hAnsi="Times New Roman"/>
          <w:kern w:val="0"/>
          <w:sz w:val="28"/>
          <w:szCs w:val="28"/>
        </w:rPr>
        <w:t>4</w:t>
      </w:r>
      <w:r>
        <w:rPr>
          <w:rFonts w:ascii="Times New Roman" w:eastAsia="仿宋_GB2312" w:hAnsi="Times New Roman"/>
          <w:kern w:val="0"/>
          <w:sz w:val="28"/>
          <w:szCs w:val="28"/>
        </w:rPr>
        <w:t>部分：版本》（</w:t>
      </w:r>
      <w:r>
        <w:rPr>
          <w:rFonts w:ascii="Times New Roman" w:eastAsia="仿宋_GB2312" w:hAnsi="Times New Roman"/>
          <w:kern w:val="0"/>
          <w:sz w:val="28"/>
          <w:szCs w:val="28"/>
        </w:rPr>
        <w:t>GB/T 25500.4-2010</w:t>
      </w:r>
      <w:r>
        <w:rPr>
          <w:rFonts w:ascii="Times New Roman" w:eastAsia="仿宋_GB2312" w:hAnsi="Times New Roman"/>
          <w:kern w:val="0"/>
          <w:sz w:val="28"/>
          <w:szCs w:val="28"/>
        </w:rPr>
        <w:t>）系列国家标准、银行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kern w:val="0"/>
          <w:sz w:val="28"/>
          <w:szCs w:val="28"/>
        </w:rPr>
        <w:t>标准（</w:t>
      </w:r>
      <w:r>
        <w:rPr>
          <w:rFonts w:ascii="Times New Roman" w:eastAsia="仿宋_GB2312" w:hAnsi="Times New Roman"/>
          <w:kern w:val="0"/>
          <w:sz w:val="28"/>
          <w:szCs w:val="28"/>
        </w:rPr>
        <w:t>20201231</w:t>
      </w:r>
      <w:r>
        <w:rPr>
          <w:rFonts w:ascii="Times New Roman" w:eastAsia="仿宋_GB2312" w:hAnsi="Times New Roman"/>
          <w:kern w:val="0"/>
          <w:sz w:val="28"/>
          <w:szCs w:val="28"/>
        </w:rPr>
        <w:t>）、《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银行审计函证数据标准指南</w:t>
      </w:r>
      <w:r>
        <w:rPr>
          <w:rFonts w:ascii="Times New Roman" w:eastAsia="仿宋_GB2312" w:hAnsi="Times New Roman"/>
          <w:kern w:val="0"/>
          <w:sz w:val="28"/>
          <w:szCs w:val="28"/>
        </w:rPr>
        <w:t>》以及编报规则的要求。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本版编报规则的版本编号为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20201231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A43390" w:rsidRDefault="00AE2941">
      <w:pPr>
        <w:spacing w:before="120" w:afterLines="50" w:after="156"/>
        <w:jc w:val="center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第二章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一般性技术原则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lastRenderedPageBreak/>
        <w:t>实例文档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编报</w:t>
      </w:r>
      <w:r>
        <w:rPr>
          <w:rFonts w:ascii="Times New Roman" w:eastAsia="仿宋_GB2312" w:hAnsi="Times New Roman"/>
          <w:kern w:val="0"/>
          <w:sz w:val="28"/>
          <w:szCs w:val="28"/>
        </w:rPr>
        <w:t>应当采用与银行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kern w:val="0"/>
          <w:sz w:val="28"/>
          <w:szCs w:val="28"/>
        </w:rPr>
        <w:t>标准一致的编码方式，即</w:t>
      </w:r>
      <w:r>
        <w:rPr>
          <w:rFonts w:ascii="Times New Roman" w:eastAsia="仿宋_GB2312" w:hAnsi="Times New Roman"/>
          <w:kern w:val="0"/>
          <w:sz w:val="28"/>
          <w:szCs w:val="28"/>
        </w:rPr>
        <w:t>“UTF-8”</w:t>
      </w:r>
      <w:r>
        <w:rPr>
          <w:rFonts w:ascii="Times New Roman" w:eastAsia="仿宋_GB2312" w:hAnsi="Times New Roman"/>
          <w:kern w:val="0"/>
          <w:sz w:val="28"/>
          <w:szCs w:val="28"/>
        </w:rPr>
        <w:t>编码。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根据《银行函证及回函工作操作指引》（财办会〔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21</w:t>
      </w:r>
      <w:r>
        <w:rPr>
          <w:rFonts w:ascii="Times New Roman" w:eastAsia="仿宋_GB2312" w:hAnsi="Times New Roman" w:hint="eastAsia"/>
          <w:sz w:val="28"/>
          <w:szCs w:val="28"/>
        </w:rPr>
        <w:t>号）要求，提供的银行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询证函标准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格式适用于注册会计师执行财务报表审计业务，对于财务报表审计业务以外的业务，在必要时可根据具体业务需要对格式进行适当调整。因此，本版银行审计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函证数据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标准遵循《银行函证及回函工作操作指引》中银行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询证函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的标准格式，并在原则上不允许扩展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不能直接修改、删除银行</w:t>
      </w:r>
      <w:r>
        <w:rPr>
          <w:rFonts w:ascii="Times New Roman" w:eastAsia="仿宋_GB2312" w:hAnsi="Times New Roman" w:hint="eastAsia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sz w:val="28"/>
          <w:szCs w:val="28"/>
        </w:rPr>
        <w:t>标准文件中的任何内容，也不能在银行</w:t>
      </w:r>
      <w:r>
        <w:rPr>
          <w:rFonts w:ascii="Times New Roman" w:eastAsia="仿宋_GB2312" w:hAnsi="Times New Roman" w:hint="eastAsia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sz w:val="28"/>
          <w:szCs w:val="28"/>
        </w:rPr>
        <w:t>标准中直</w:t>
      </w:r>
      <w:proofErr w:type="gramStart"/>
      <w:r>
        <w:rPr>
          <w:rFonts w:ascii="Times New Roman" w:eastAsia="仿宋_GB2312" w:hAnsi="Times New Roman"/>
          <w:sz w:val="28"/>
          <w:szCs w:val="28"/>
        </w:rPr>
        <w:t>接增加</w:t>
      </w:r>
      <w:proofErr w:type="gramEnd"/>
      <w:r>
        <w:rPr>
          <w:rFonts w:ascii="Times New Roman" w:eastAsia="仿宋_GB2312" w:hAnsi="Times New Roman"/>
          <w:sz w:val="28"/>
          <w:szCs w:val="28"/>
        </w:rPr>
        <w:t>任何内容。</w:t>
      </w:r>
    </w:p>
    <w:p w:rsidR="00A43390" w:rsidRDefault="00AE2941">
      <w:pPr>
        <w:spacing w:before="120" w:afterLines="50" w:after="156"/>
        <w:jc w:val="center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第</w:t>
      </w:r>
      <w:r>
        <w:rPr>
          <w:rFonts w:ascii="Times New Roman" w:eastAsia="黑体" w:hAnsi="Times New Roman" w:hint="eastAsia"/>
          <w:sz w:val="28"/>
          <w:szCs w:val="28"/>
        </w:rPr>
        <w:t>三</w:t>
      </w:r>
      <w:r>
        <w:rPr>
          <w:rFonts w:ascii="Times New Roman" w:eastAsia="黑体" w:hAnsi="Times New Roman"/>
          <w:sz w:val="28"/>
          <w:szCs w:val="28"/>
        </w:rPr>
        <w:t>章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实例文档规则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实例文档的命名格式为</w:t>
      </w:r>
      <w:r>
        <w:rPr>
          <w:rFonts w:ascii="Times New Roman" w:eastAsia="仿宋_GB2312" w:hAnsi="Times New Roman"/>
          <w:sz w:val="28"/>
          <w:szCs w:val="28"/>
        </w:rPr>
        <w:t>{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函证编号</w:t>
      </w:r>
      <w:proofErr w:type="gramEnd"/>
      <w:r>
        <w:rPr>
          <w:rFonts w:ascii="Times New Roman" w:eastAsia="仿宋_GB2312" w:hAnsi="Times New Roman"/>
          <w:sz w:val="28"/>
          <w:szCs w:val="28"/>
        </w:rPr>
        <w:t>}-{</w:t>
      </w:r>
      <w:r>
        <w:rPr>
          <w:rFonts w:ascii="Times New Roman" w:eastAsia="仿宋_GB2312" w:hAnsi="Times New Roman" w:hint="eastAsia"/>
          <w:sz w:val="28"/>
          <w:szCs w:val="28"/>
        </w:rPr>
        <w:t>被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证企业统一社会信用代码</w:t>
      </w:r>
      <w:r>
        <w:rPr>
          <w:rFonts w:ascii="Times New Roman" w:eastAsia="仿宋_GB2312" w:hAnsi="Times New Roman"/>
          <w:sz w:val="28"/>
          <w:szCs w:val="28"/>
        </w:rPr>
        <w:t>}-</w:t>
      </w:r>
      <w:r>
        <w:rPr>
          <w:rFonts w:ascii="Times New Roman" w:eastAsia="仿宋_GB2312" w:hAnsi="Times New Roman" w:hint="eastAsia"/>
          <w:sz w:val="28"/>
          <w:szCs w:val="28"/>
        </w:rPr>
        <w:t>{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询证银行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金融机构代码</w:t>
      </w:r>
      <w:r>
        <w:rPr>
          <w:rFonts w:ascii="Times New Roman" w:eastAsia="仿宋_GB2312" w:hAnsi="Times New Roman" w:hint="eastAsia"/>
          <w:sz w:val="28"/>
          <w:szCs w:val="28"/>
        </w:rPr>
        <w:t>}</w:t>
      </w:r>
      <w:r>
        <w:rPr>
          <w:rFonts w:ascii="Times New Roman" w:eastAsia="仿宋_GB2312" w:hAnsi="Times New Roman"/>
          <w:sz w:val="28"/>
          <w:szCs w:val="28"/>
        </w:rPr>
        <w:t>-{</w:t>
      </w:r>
      <w:r>
        <w:rPr>
          <w:rFonts w:ascii="Times New Roman" w:eastAsia="仿宋_GB2312" w:hAnsi="Times New Roman"/>
          <w:sz w:val="28"/>
          <w:szCs w:val="28"/>
        </w:rPr>
        <w:t>日期</w:t>
      </w:r>
      <w:r>
        <w:rPr>
          <w:rFonts w:ascii="Times New Roman" w:eastAsia="仿宋_GB2312" w:hAnsi="Times New Roman"/>
          <w:sz w:val="28"/>
          <w:szCs w:val="28"/>
        </w:rPr>
        <w:t>}.{</w:t>
      </w:r>
      <w:r>
        <w:rPr>
          <w:rFonts w:ascii="Times New Roman" w:eastAsia="仿宋_GB2312" w:hAnsi="Times New Roman"/>
          <w:sz w:val="28"/>
          <w:szCs w:val="28"/>
        </w:rPr>
        <w:t>文件后缀</w:t>
      </w:r>
      <w:r>
        <w:rPr>
          <w:rFonts w:ascii="Times New Roman" w:eastAsia="仿宋_GB2312" w:hAnsi="Times New Roman"/>
          <w:sz w:val="28"/>
          <w:szCs w:val="28"/>
        </w:rPr>
        <w:t>}</w:t>
      </w:r>
      <w:r>
        <w:rPr>
          <w:rFonts w:ascii="Times New Roman" w:eastAsia="仿宋_GB2312" w:hAnsi="Times New Roman"/>
          <w:sz w:val="28"/>
          <w:szCs w:val="28"/>
        </w:rPr>
        <w:t>。文件名称各组成部分之间以英文字符集中的中划线连接。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其中，</w:t>
      </w:r>
      <w:r>
        <w:rPr>
          <w:rFonts w:ascii="Times New Roman" w:eastAsia="仿宋_GB2312" w:hAnsi="Times New Roman"/>
          <w:sz w:val="28"/>
          <w:szCs w:val="28"/>
        </w:rPr>
        <w:t>{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函证编号</w:t>
      </w:r>
      <w:proofErr w:type="gramEnd"/>
      <w:r>
        <w:rPr>
          <w:rFonts w:ascii="Times New Roman" w:eastAsia="仿宋_GB2312" w:hAnsi="Times New Roman"/>
          <w:sz w:val="28"/>
          <w:szCs w:val="28"/>
        </w:rPr>
        <w:t>}</w:t>
      </w:r>
      <w:r>
        <w:rPr>
          <w:rFonts w:ascii="Times New Roman" w:eastAsia="仿宋_GB2312" w:hAnsi="Times New Roman" w:hint="eastAsia"/>
          <w:sz w:val="28"/>
          <w:szCs w:val="28"/>
        </w:rPr>
        <w:t>为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银行函证的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数字编号，是数字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函证信息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的唯一标识</w:t>
      </w:r>
      <w:r>
        <w:rPr>
          <w:rFonts w:ascii="Times New Roman" w:eastAsia="仿宋_GB2312" w:hAnsi="Times New Roman"/>
          <w:sz w:val="28"/>
          <w:szCs w:val="28"/>
        </w:rPr>
        <w:t>；</w:t>
      </w:r>
      <w:r>
        <w:rPr>
          <w:rFonts w:ascii="Times New Roman" w:eastAsia="仿宋_GB2312" w:hAnsi="Times New Roman"/>
          <w:sz w:val="28"/>
          <w:szCs w:val="28"/>
        </w:rPr>
        <w:t>{</w:t>
      </w:r>
      <w:r>
        <w:rPr>
          <w:rFonts w:ascii="Times New Roman" w:eastAsia="仿宋_GB2312" w:hAnsi="Times New Roman" w:hint="eastAsia"/>
          <w:sz w:val="28"/>
          <w:szCs w:val="28"/>
        </w:rPr>
        <w:t>被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证企业统一社会信用代码</w:t>
      </w:r>
      <w:r>
        <w:rPr>
          <w:rFonts w:ascii="Times New Roman" w:eastAsia="仿宋_GB2312" w:hAnsi="Times New Roman"/>
          <w:sz w:val="28"/>
          <w:szCs w:val="28"/>
        </w:rPr>
        <w:t>}</w:t>
      </w:r>
      <w:r>
        <w:rPr>
          <w:rFonts w:ascii="Times New Roman" w:eastAsia="仿宋_GB2312" w:hAnsi="Times New Roman" w:hint="eastAsia"/>
          <w:sz w:val="28"/>
          <w:szCs w:val="28"/>
        </w:rPr>
        <w:t>是被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证企业的唯一标识码；</w:t>
      </w:r>
      <w:r>
        <w:rPr>
          <w:rFonts w:ascii="Times New Roman" w:eastAsia="仿宋_GB2312" w:hAnsi="Times New Roman" w:hint="eastAsia"/>
          <w:sz w:val="28"/>
          <w:szCs w:val="28"/>
        </w:rPr>
        <w:t>{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询证银行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金融机构代码</w:t>
      </w:r>
      <w:r>
        <w:rPr>
          <w:rFonts w:ascii="Times New Roman" w:eastAsia="仿宋_GB2312" w:hAnsi="Times New Roman" w:hint="eastAsia"/>
          <w:sz w:val="28"/>
          <w:szCs w:val="28"/>
        </w:rPr>
        <w:t>}</w:t>
      </w:r>
      <w:r>
        <w:rPr>
          <w:rFonts w:ascii="Times New Roman" w:eastAsia="仿宋_GB2312" w:hAnsi="Times New Roman" w:hint="eastAsia"/>
          <w:sz w:val="28"/>
          <w:szCs w:val="28"/>
        </w:rPr>
        <w:t>是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询证银行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的唯一标识码</w:t>
      </w:r>
      <w:r>
        <w:rPr>
          <w:rFonts w:ascii="Times New Roman" w:eastAsia="仿宋_GB2312" w:hAnsi="Times New Roman"/>
          <w:sz w:val="28"/>
          <w:szCs w:val="28"/>
        </w:rPr>
        <w:t>；</w:t>
      </w:r>
      <w:r>
        <w:rPr>
          <w:rFonts w:ascii="Times New Roman" w:eastAsia="仿宋_GB2312" w:hAnsi="Times New Roman"/>
          <w:sz w:val="28"/>
          <w:szCs w:val="28"/>
        </w:rPr>
        <w:t>{</w:t>
      </w:r>
      <w:r>
        <w:rPr>
          <w:rFonts w:ascii="Times New Roman" w:eastAsia="仿宋_GB2312" w:hAnsi="Times New Roman"/>
          <w:sz w:val="28"/>
          <w:szCs w:val="28"/>
        </w:rPr>
        <w:t>日期</w:t>
      </w:r>
      <w:r>
        <w:rPr>
          <w:rFonts w:ascii="Times New Roman" w:eastAsia="仿宋_GB2312" w:hAnsi="Times New Roman"/>
          <w:sz w:val="28"/>
          <w:szCs w:val="28"/>
        </w:rPr>
        <w:t>}</w:t>
      </w:r>
      <w:r>
        <w:rPr>
          <w:rFonts w:ascii="Times New Roman" w:eastAsia="仿宋_GB2312" w:hAnsi="Times New Roman"/>
          <w:sz w:val="28"/>
          <w:szCs w:val="28"/>
        </w:rPr>
        <w:t>是</w:t>
      </w:r>
      <w:r>
        <w:rPr>
          <w:rFonts w:ascii="Times New Roman" w:eastAsia="仿宋_GB2312" w:hAnsi="Times New Roman" w:hint="eastAsia"/>
          <w:sz w:val="28"/>
          <w:szCs w:val="28"/>
        </w:rPr>
        <w:t>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询证函的函证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基准日</w:t>
      </w:r>
      <w:r>
        <w:rPr>
          <w:rFonts w:ascii="Times New Roman" w:eastAsia="仿宋_GB2312" w:hAnsi="Times New Roman"/>
          <w:sz w:val="28"/>
          <w:szCs w:val="28"/>
        </w:rPr>
        <w:t>，格式为</w:t>
      </w:r>
      <w:r>
        <w:rPr>
          <w:rFonts w:ascii="Times New Roman" w:eastAsia="仿宋_GB2312" w:hAnsi="Times New Roman"/>
          <w:sz w:val="28"/>
          <w:szCs w:val="28"/>
        </w:rPr>
        <w:t>YYYYMMDD</w:t>
      </w:r>
      <w:r>
        <w:rPr>
          <w:rFonts w:ascii="Times New Roman" w:eastAsia="仿宋_GB2312" w:hAnsi="Times New Roman"/>
          <w:sz w:val="28"/>
          <w:szCs w:val="28"/>
        </w:rPr>
        <w:t>；</w:t>
      </w:r>
      <w:r>
        <w:rPr>
          <w:rFonts w:ascii="Times New Roman" w:eastAsia="仿宋_GB2312" w:hAnsi="Times New Roman"/>
          <w:sz w:val="28"/>
          <w:szCs w:val="28"/>
        </w:rPr>
        <w:t>{</w:t>
      </w:r>
      <w:r>
        <w:rPr>
          <w:rFonts w:ascii="Times New Roman" w:eastAsia="仿宋_GB2312" w:hAnsi="Times New Roman"/>
          <w:sz w:val="28"/>
          <w:szCs w:val="28"/>
        </w:rPr>
        <w:t>文件后缀</w:t>
      </w:r>
      <w:r>
        <w:rPr>
          <w:rFonts w:ascii="Times New Roman" w:eastAsia="仿宋_GB2312" w:hAnsi="Times New Roman"/>
          <w:sz w:val="28"/>
          <w:szCs w:val="28"/>
        </w:rPr>
        <w:t>}</w:t>
      </w:r>
      <w:r>
        <w:rPr>
          <w:rFonts w:ascii="Times New Roman" w:eastAsia="仿宋_GB2312" w:hAnsi="Times New Roman"/>
          <w:sz w:val="28"/>
          <w:szCs w:val="28"/>
        </w:rPr>
        <w:t>是</w:t>
      </w:r>
      <w:r>
        <w:rPr>
          <w:rFonts w:ascii="Times New Roman" w:eastAsia="仿宋_GB2312" w:hAnsi="Times New Roman" w:hint="eastAsia"/>
          <w:sz w:val="28"/>
          <w:szCs w:val="28"/>
        </w:rPr>
        <w:t>实例文档</w:t>
      </w:r>
      <w:r>
        <w:rPr>
          <w:rFonts w:ascii="Times New Roman" w:eastAsia="仿宋_GB2312" w:hAnsi="Times New Roman"/>
          <w:sz w:val="28"/>
          <w:szCs w:val="28"/>
        </w:rPr>
        <w:t>的后缀，即</w:t>
      </w:r>
      <w:r>
        <w:rPr>
          <w:rFonts w:ascii="Times New Roman" w:eastAsia="仿宋_GB2312" w:hAnsi="Times New Roman"/>
          <w:sz w:val="28"/>
          <w:szCs w:val="28"/>
        </w:rPr>
        <w:t>xml</w:t>
      </w:r>
      <w:r>
        <w:rPr>
          <w:rFonts w:ascii="Times New Roman" w:eastAsia="仿宋_GB2312" w:hAnsi="Times New Roman"/>
          <w:sz w:val="28"/>
          <w:szCs w:val="28"/>
        </w:rPr>
        <w:t>。实例文档命名格式</w:t>
      </w:r>
      <w:proofErr w:type="gramStart"/>
      <w:r>
        <w:rPr>
          <w:rFonts w:ascii="Times New Roman" w:eastAsia="仿宋_GB2312" w:hAnsi="Times New Roman"/>
          <w:sz w:val="28"/>
          <w:szCs w:val="28"/>
        </w:rPr>
        <w:t>举例</w:t>
      </w:r>
      <w:r>
        <w:rPr>
          <w:rFonts w:ascii="Times New Roman" w:eastAsia="仿宋_GB2312" w:hAnsi="Times New Roman" w:hint="eastAsia"/>
          <w:sz w:val="28"/>
          <w:szCs w:val="28"/>
        </w:rPr>
        <w:t>请</w:t>
      </w:r>
      <w:proofErr w:type="gramEnd"/>
      <w:r>
        <w:rPr>
          <w:rFonts w:ascii="Times New Roman" w:eastAsia="仿宋_GB2312" w:hAnsi="Times New Roman"/>
          <w:sz w:val="28"/>
          <w:szCs w:val="28"/>
        </w:rPr>
        <w:t>参见例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在确定实例文档的标记信息时，应遵循以下原则：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（一）实例文档中必须包含银行</w:t>
      </w:r>
      <w:r>
        <w:rPr>
          <w:rFonts w:ascii="Times New Roman" w:eastAsia="仿宋_GB2312" w:hAnsi="Times New Roman" w:hint="eastAsia"/>
          <w:sz w:val="28"/>
          <w:szCs w:val="28"/>
        </w:rPr>
        <w:t>审计</w:t>
      </w:r>
      <w:proofErr w:type="gramStart"/>
      <w:r>
        <w:rPr>
          <w:rFonts w:ascii="Times New Roman" w:eastAsia="仿宋_GB2312" w:hAnsi="Times New Roman"/>
          <w:sz w:val="28"/>
          <w:szCs w:val="28"/>
        </w:rPr>
        <w:t>函证</w:t>
      </w:r>
      <w:r>
        <w:rPr>
          <w:rFonts w:ascii="Times New Roman" w:eastAsia="仿宋_GB2312" w:hAnsi="Times New Roman" w:hint="eastAsia"/>
          <w:sz w:val="28"/>
          <w:szCs w:val="28"/>
        </w:rPr>
        <w:t>数据</w:t>
      </w:r>
      <w:proofErr w:type="gramEnd"/>
      <w:r>
        <w:rPr>
          <w:rFonts w:ascii="Times New Roman" w:eastAsia="仿宋_GB2312" w:hAnsi="Times New Roman"/>
          <w:sz w:val="28"/>
          <w:szCs w:val="28"/>
        </w:rPr>
        <w:t>标准扩展链接角色</w:t>
      </w:r>
      <w:r>
        <w:rPr>
          <w:rFonts w:ascii="Times New Roman" w:eastAsia="仿宋_GB2312" w:hAnsi="Times New Roman" w:hint="eastAsia"/>
          <w:sz w:val="28"/>
          <w:szCs w:val="28"/>
        </w:rPr>
        <w:t xml:space="preserve">100000 - Document - Basic information </w:t>
      </w:r>
      <w:r>
        <w:rPr>
          <w:rFonts w:ascii="Times New Roman" w:eastAsia="仿宋_GB2312" w:hAnsi="Times New Roman" w:hint="eastAsia"/>
          <w:sz w:val="28"/>
          <w:szCs w:val="28"/>
        </w:rPr>
        <w:t>基本信息中定义的每一个元素的事实值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（二）实例文档的标记信息应当准确反映</w:t>
      </w:r>
      <w:proofErr w:type="gramStart"/>
      <w:r>
        <w:rPr>
          <w:rFonts w:ascii="Times New Roman" w:eastAsia="仿宋_GB2312" w:hAnsi="Times New Roman"/>
          <w:sz w:val="28"/>
          <w:szCs w:val="28"/>
        </w:rPr>
        <w:t>银行</w:t>
      </w:r>
      <w:r>
        <w:rPr>
          <w:rFonts w:ascii="Times New Roman" w:eastAsia="仿宋_GB2312" w:hAnsi="Times New Roman" w:hint="eastAsia"/>
          <w:sz w:val="28"/>
          <w:szCs w:val="28"/>
        </w:rPr>
        <w:t>函证</w:t>
      </w:r>
      <w:r>
        <w:rPr>
          <w:rFonts w:ascii="Times New Roman" w:eastAsia="仿宋_GB2312" w:hAnsi="Times New Roman"/>
          <w:sz w:val="28"/>
          <w:szCs w:val="28"/>
        </w:rPr>
        <w:t>披露</w:t>
      </w:r>
      <w:proofErr w:type="gramEnd"/>
      <w:r>
        <w:rPr>
          <w:rFonts w:ascii="Times New Roman" w:eastAsia="仿宋_GB2312" w:hAnsi="Times New Roman"/>
          <w:sz w:val="28"/>
          <w:szCs w:val="28"/>
        </w:rPr>
        <w:t>的信息。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（三）对于银行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询证函</w:t>
      </w:r>
      <w:proofErr w:type="gramEnd"/>
      <w:r>
        <w:rPr>
          <w:rFonts w:ascii="Times New Roman" w:eastAsia="仿宋_GB2312" w:hAnsi="Times New Roman"/>
          <w:sz w:val="28"/>
          <w:szCs w:val="28"/>
        </w:rPr>
        <w:t>中表示发生额或余额为</w:t>
      </w:r>
      <w:r>
        <w:rPr>
          <w:rFonts w:ascii="Times New Roman" w:eastAsia="仿宋_GB2312" w:hAnsi="Times New Roman"/>
          <w:sz w:val="28"/>
          <w:szCs w:val="28"/>
        </w:rPr>
        <w:t>0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“-”</w:t>
      </w:r>
      <w:r>
        <w:rPr>
          <w:rFonts w:ascii="Times New Roman" w:eastAsia="仿宋_GB2312" w:hAnsi="Times New Roman"/>
          <w:sz w:val="28"/>
          <w:szCs w:val="28"/>
        </w:rPr>
        <w:t>（短横线），企业应该根据实际的披露情况，在实例文档中标记成</w:t>
      </w:r>
      <w:r>
        <w:rPr>
          <w:rFonts w:ascii="Times New Roman" w:eastAsia="仿宋_GB2312" w:hAnsi="Times New Roman"/>
          <w:sz w:val="28"/>
          <w:szCs w:val="28"/>
        </w:rPr>
        <w:t>“0”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四</w:t>
      </w:r>
      <w:r>
        <w:rPr>
          <w:rFonts w:ascii="Times New Roman" w:eastAsia="仿宋_GB2312" w:hAnsi="Times New Roman"/>
          <w:sz w:val="28"/>
          <w:szCs w:val="28"/>
        </w:rPr>
        <w:t>）实例文档中标记的数值应当是原始数据，金额应以元为单位。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）页眉或者页脚的信息，如单位名称、页码等，不在实例文档中披露。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）实例文档不能对同一披露项目进行重复标记，标记事项必须拥有唯一的元素、上下文、单位（</w:t>
      </w:r>
      <w:r>
        <w:rPr>
          <w:rFonts w:ascii="Times New Roman" w:eastAsia="仿宋_GB2312" w:hAnsi="Times New Roman"/>
          <w:sz w:val="28"/>
          <w:szCs w:val="28"/>
        </w:rPr>
        <w:t>Unit</w:t>
      </w:r>
      <w:r>
        <w:rPr>
          <w:rFonts w:ascii="Times New Roman" w:eastAsia="仿宋_GB2312" w:hAnsi="Times New Roman"/>
          <w:sz w:val="28"/>
          <w:szCs w:val="28"/>
        </w:rPr>
        <w:t>）和</w:t>
      </w:r>
      <w:r>
        <w:rPr>
          <w:rFonts w:ascii="Times New Roman" w:eastAsia="仿宋_GB2312" w:hAnsi="Times New Roman" w:hint="eastAsia"/>
          <w:sz w:val="28"/>
          <w:szCs w:val="28"/>
        </w:rPr>
        <w:t>精确度</w:t>
      </w: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Decimals</w:t>
      </w:r>
      <w:r>
        <w:rPr>
          <w:rFonts w:ascii="Times New Roman" w:eastAsia="仿宋_GB2312" w:hAnsi="Times New Roman"/>
          <w:sz w:val="28"/>
          <w:szCs w:val="28"/>
        </w:rPr>
        <w:t>）属性。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在编制实例文档时，应遵循以下原则：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（一）实例文档中报告企业的标识符（</w:t>
      </w:r>
      <w:r>
        <w:rPr>
          <w:rFonts w:ascii="Times New Roman" w:eastAsia="仿宋_GB2312" w:hAnsi="Times New Roman"/>
          <w:sz w:val="28"/>
          <w:szCs w:val="28"/>
        </w:rPr>
        <w:t>Identifier</w:t>
      </w:r>
      <w:r>
        <w:rPr>
          <w:rFonts w:ascii="Times New Roman" w:eastAsia="仿宋_GB2312" w:hAnsi="Times New Roman"/>
          <w:sz w:val="28"/>
          <w:szCs w:val="28"/>
        </w:rPr>
        <w:t>）为</w:t>
      </w:r>
      <w:r>
        <w:rPr>
          <w:rFonts w:ascii="Times New Roman" w:eastAsia="仿宋_GB2312" w:hAnsi="Times New Roman" w:hint="eastAsia"/>
          <w:sz w:val="28"/>
          <w:szCs w:val="28"/>
        </w:rPr>
        <w:t>统一社会信用代码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Scheme</w:t>
      </w:r>
      <w:r>
        <w:rPr>
          <w:rFonts w:ascii="Times New Roman" w:eastAsia="仿宋_GB2312" w:hAnsi="Times New Roman"/>
          <w:sz w:val="28"/>
          <w:szCs w:val="28"/>
        </w:rPr>
        <w:t>属性为</w:t>
      </w:r>
      <w:r>
        <w:rPr>
          <w:rFonts w:ascii="Times New Roman" w:eastAsia="仿宋_GB2312" w:hAnsi="Times New Roman" w:hint="eastAsia"/>
          <w:sz w:val="28"/>
          <w:szCs w:val="28"/>
        </w:rPr>
        <w:t>财政部网络域名</w:t>
      </w:r>
      <w:r>
        <w:rPr>
          <w:rFonts w:ascii="Times New Roman" w:eastAsia="仿宋_GB2312" w:hAnsi="Times New Roman"/>
          <w:sz w:val="28"/>
          <w:szCs w:val="28"/>
        </w:rPr>
        <w:t>http://xbrl.mof.gov.c</w:t>
      </w:r>
      <w:r>
        <w:rPr>
          <w:rFonts w:ascii="Times New Roman" w:eastAsia="仿宋_GB2312" w:hAnsi="Times New Roman" w:hint="eastAsia"/>
          <w:sz w:val="28"/>
          <w:szCs w:val="28"/>
        </w:rPr>
        <w:t>n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（二）具体企业名称或具体日期不应出现在</w:t>
      </w:r>
      <w:proofErr w:type="gramStart"/>
      <w:r>
        <w:rPr>
          <w:rFonts w:ascii="Times New Roman" w:eastAsia="仿宋_GB2312" w:hAnsi="Times New Roman"/>
          <w:sz w:val="28"/>
          <w:szCs w:val="28"/>
        </w:rPr>
        <w:t>除域项目</w:t>
      </w:r>
      <w:proofErr w:type="gramEnd"/>
      <w:r>
        <w:rPr>
          <w:rFonts w:ascii="Times New Roman" w:eastAsia="仿宋_GB2312" w:hAnsi="Times New Roman"/>
          <w:sz w:val="28"/>
          <w:szCs w:val="28"/>
        </w:rPr>
        <w:t>类型（</w:t>
      </w:r>
      <w:proofErr w:type="spellStart"/>
      <w:r>
        <w:rPr>
          <w:rFonts w:ascii="Times New Roman" w:eastAsia="仿宋_GB2312" w:hAnsi="Times New Roman"/>
          <w:sz w:val="28"/>
          <w:szCs w:val="28"/>
        </w:rPr>
        <w:t>domainItemType</w:t>
      </w:r>
      <w:proofErr w:type="spellEnd"/>
      <w:r>
        <w:rPr>
          <w:rFonts w:ascii="Times New Roman" w:eastAsia="仿宋_GB2312" w:hAnsi="Times New Roman"/>
          <w:sz w:val="28"/>
          <w:szCs w:val="28"/>
        </w:rPr>
        <w:t>）元素以外的元素的名称中。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（三）实例文档不能包含未使用的上下文。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（四）维度上下文统一使用场景信息（</w:t>
      </w:r>
      <w:r>
        <w:rPr>
          <w:rFonts w:ascii="Times New Roman" w:eastAsia="仿宋_GB2312" w:hAnsi="Times New Roman"/>
          <w:sz w:val="28"/>
          <w:szCs w:val="28"/>
        </w:rPr>
        <w:t>Scenario</w:t>
      </w:r>
      <w:r>
        <w:rPr>
          <w:rFonts w:ascii="Times New Roman" w:eastAsia="仿宋_GB2312" w:hAnsi="Times New Roman"/>
          <w:sz w:val="28"/>
          <w:szCs w:val="28"/>
        </w:rPr>
        <w:t>），而不采用分段信息（</w:t>
      </w:r>
      <w:r>
        <w:rPr>
          <w:rFonts w:ascii="Times New Roman" w:eastAsia="仿宋_GB2312" w:hAnsi="Times New Roman"/>
          <w:sz w:val="28"/>
          <w:szCs w:val="28"/>
        </w:rPr>
        <w:t>Segment</w:t>
      </w:r>
      <w:r>
        <w:rPr>
          <w:rFonts w:ascii="Times New Roman" w:eastAsia="仿宋_GB2312" w:hAnsi="Times New Roman"/>
          <w:sz w:val="28"/>
          <w:szCs w:val="28"/>
        </w:rPr>
        <w:t>）。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（五）实例文档不能包含未使用的计量单位。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（六）百分比数字的标记不得包含百分号，而应当以小数的形式来表示。请参见例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七</w:t>
      </w:r>
      <w:r>
        <w:rPr>
          <w:rFonts w:ascii="Times New Roman" w:eastAsia="仿宋_GB2312" w:hAnsi="Times New Roman"/>
          <w:sz w:val="28"/>
          <w:szCs w:val="28"/>
        </w:rPr>
        <w:t>）</w:t>
      </w:r>
      <w:proofErr w:type="gramStart"/>
      <w:r>
        <w:rPr>
          <w:rFonts w:ascii="Times New Roman" w:eastAsia="仿宋_GB2312" w:hAnsi="Times New Roman"/>
          <w:sz w:val="28"/>
          <w:szCs w:val="28"/>
        </w:rPr>
        <w:t>域成员</w:t>
      </w:r>
      <w:proofErr w:type="gramEnd"/>
      <w:r>
        <w:rPr>
          <w:rFonts w:ascii="Times New Roman" w:eastAsia="仿宋_GB2312" w:hAnsi="Times New Roman"/>
          <w:sz w:val="28"/>
          <w:szCs w:val="28"/>
        </w:rPr>
        <w:t>与行项目元素不能混用。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在处理实例文档中的时间信息时，应遵循以下原则：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（一）实例文档中日期的格式应当定义为</w:t>
      </w:r>
      <w:proofErr w:type="spellStart"/>
      <w:r>
        <w:rPr>
          <w:rFonts w:ascii="Times New Roman" w:eastAsia="仿宋_GB2312" w:hAnsi="Times New Roman"/>
          <w:sz w:val="28"/>
          <w:szCs w:val="28"/>
        </w:rPr>
        <w:t>yyyy</w:t>
      </w:r>
      <w:proofErr w:type="spellEnd"/>
      <w:r>
        <w:rPr>
          <w:rFonts w:ascii="Times New Roman" w:eastAsia="仿宋_GB2312" w:hAnsi="Times New Roman"/>
          <w:sz w:val="28"/>
          <w:szCs w:val="28"/>
        </w:rPr>
        <w:t>-mm-dd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（二）在实例文档中，对于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证内容包含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 w:hint="eastAsia"/>
          <w:sz w:val="28"/>
          <w:szCs w:val="28"/>
        </w:rPr>
        <w:t>日期信息的</w:t>
      </w:r>
      <w:r>
        <w:rPr>
          <w:rFonts w:ascii="Times New Roman" w:eastAsia="仿宋_GB2312" w:hAnsi="Times New Roman"/>
          <w:sz w:val="28"/>
          <w:szCs w:val="28"/>
        </w:rPr>
        <w:t>标记，</w:t>
      </w:r>
      <w:r>
        <w:rPr>
          <w:rFonts w:ascii="Times New Roman" w:eastAsia="仿宋_GB2312" w:hAnsi="Times New Roman" w:hint="eastAsia"/>
          <w:sz w:val="28"/>
          <w:szCs w:val="28"/>
        </w:rPr>
        <w:t>无论该项目描述的实际日期是何时，均</w:t>
      </w:r>
      <w:r>
        <w:rPr>
          <w:rFonts w:ascii="Times New Roman" w:eastAsia="仿宋_GB2312" w:hAnsi="Times New Roman"/>
          <w:sz w:val="28"/>
          <w:szCs w:val="28"/>
        </w:rPr>
        <w:t>应将上下文的时期</w:t>
      </w:r>
      <w:r>
        <w:rPr>
          <w:rFonts w:ascii="Times New Roman" w:eastAsia="仿宋_GB2312" w:hAnsi="Times New Roman" w:hint="eastAsia"/>
          <w:sz w:val="28"/>
          <w:szCs w:val="28"/>
        </w:rPr>
        <w:t>信息</w:t>
      </w:r>
      <w:r>
        <w:rPr>
          <w:rFonts w:ascii="Times New Roman" w:eastAsia="仿宋_GB2312" w:hAnsi="Times New Roman"/>
          <w:sz w:val="28"/>
          <w:szCs w:val="28"/>
        </w:rPr>
        <w:t>设置为本次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</w:t>
      </w:r>
      <w:proofErr w:type="gramStart"/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 w:hint="eastAsia"/>
          <w:sz w:val="28"/>
          <w:szCs w:val="28"/>
        </w:rPr>
        <w:t>函证基准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。请参见例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）在同一实例文档中，同一日期不能同时作为上下文（</w:t>
      </w:r>
      <w:r>
        <w:rPr>
          <w:rFonts w:ascii="Times New Roman" w:eastAsia="仿宋_GB2312" w:hAnsi="Times New Roman"/>
          <w:sz w:val="28"/>
          <w:szCs w:val="28"/>
        </w:rPr>
        <w:t>Context</w:t>
      </w:r>
      <w:r>
        <w:rPr>
          <w:rFonts w:ascii="Times New Roman" w:eastAsia="仿宋_GB2312" w:hAnsi="Times New Roman"/>
          <w:sz w:val="28"/>
          <w:szCs w:val="28"/>
        </w:rPr>
        <w:t>）的时期</w:t>
      </w:r>
      <w:r>
        <w:rPr>
          <w:rFonts w:ascii="Times New Roman" w:eastAsia="仿宋_GB2312" w:hAnsi="Times New Roman" w:hint="eastAsia"/>
          <w:sz w:val="28"/>
          <w:szCs w:val="28"/>
        </w:rPr>
        <w:t>信息（</w:t>
      </w:r>
      <w:r>
        <w:rPr>
          <w:rFonts w:ascii="Times New Roman" w:eastAsia="仿宋_GB2312" w:hAnsi="Times New Roman" w:hint="eastAsia"/>
          <w:sz w:val="28"/>
          <w:szCs w:val="28"/>
        </w:rPr>
        <w:t>Period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的起始日期（</w:t>
      </w:r>
      <w:proofErr w:type="spellStart"/>
      <w:r>
        <w:rPr>
          <w:rFonts w:ascii="Times New Roman" w:eastAsia="仿宋_GB2312" w:hAnsi="Times New Roman"/>
          <w:sz w:val="28"/>
          <w:szCs w:val="28"/>
        </w:rPr>
        <w:t>startDate</w:t>
      </w:r>
      <w:proofErr w:type="spellEnd"/>
      <w:r>
        <w:rPr>
          <w:rFonts w:ascii="Times New Roman" w:eastAsia="仿宋_GB2312" w:hAnsi="Times New Roman"/>
          <w:sz w:val="28"/>
          <w:szCs w:val="28"/>
        </w:rPr>
        <w:t>）和结束日期（</w:t>
      </w:r>
      <w:proofErr w:type="spellStart"/>
      <w:r>
        <w:rPr>
          <w:rFonts w:ascii="Times New Roman" w:eastAsia="仿宋_GB2312" w:hAnsi="Times New Roman"/>
          <w:sz w:val="28"/>
          <w:szCs w:val="28"/>
        </w:rPr>
        <w:t>endDate</w:t>
      </w:r>
      <w:proofErr w:type="spellEnd"/>
      <w:r>
        <w:rPr>
          <w:rFonts w:ascii="Times New Roman" w:eastAsia="仿宋_GB2312" w:hAnsi="Times New Roman"/>
          <w:sz w:val="28"/>
          <w:szCs w:val="28"/>
        </w:rPr>
        <w:t>）。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四</w:t>
      </w:r>
      <w:r>
        <w:rPr>
          <w:rFonts w:ascii="Times New Roman" w:eastAsia="仿宋_GB2312" w:hAnsi="Times New Roman"/>
          <w:sz w:val="28"/>
          <w:szCs w:val="28"/>
        </w:rPr>
        <w:t>）在同一实例文档中，同一日期不能同时作为上下文的时期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Duration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元素的起始日期和时点（</w:t>
      </w:r>
      <w:r>
        <w:rPr>
          <w:rFonts w:ascii="Times New Roman" w:eastAsia="仿宋_GB2312" w:hAnsi="Times New Roman"/>
          <w:sz w:val="28"/>
          <w:szCs w:val="28"/>
        </w:rPr>
        <w:t>instant</w:t>
      </w:r>
      <w:r>
        <w:rPr>
          <w:rFonts w:ascii="Times New Roman" w:eastAsia="仿宋_GB2312" w:hAnsi="Times New Roman"/>
          <w:sz w:val="28"/>
          <w:szCs w:val="28"/>
        </w:rPr>
        <w:t>）元素的日期。</w:t>
      </w:r>
    </w:p>
    <w:p w:rsidR="00A43390" w:rsidRDefault="00AE2941">
      <w:pPr>
        <w:numPr>
          <w:ilvl w:val="0"/>
          <w:numId w:val="1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在处理实例文档中的维度信息时</w:t>
      </w:r>
      <w:r>
        <w:rPr>
          <w:rFonts w:ascii="Times New Roman" w:eastAsia="仿宋_GB2312" w:hAnsi="Times New Roman"/>
          <w:sz w:val="28"/>
          <w:szCs w:val="28"/>
        </w:rPr>
        <w:t>，应遵循以下原则：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（一）</w:t>
      </w:r>
      <w:r>
        <w:rPr>
          <w:rFonts w:ascii="Times New Roman" w:eastAsia="仿宋_GB2312" w:hAnsi="Times New Roman" w:hint="eastAsia"/>
          <w:sz w:val="28"/>
          <w:szCs w:val="28"/>
        </w:rPr>
        <w:t>在实例文档中，明确维度“维度—银行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证项目”和“维度—被审验单位类型”的所有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域成员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已在</w:t>
      </w:r>
      <w:r w:rsidR="004A3863">
        <w:rPr>
          <w:rFonts w:ascii="Times New Roman" w:eastAsia="仿宋_GB2312" w:hAnsi="Times New Roman" w:hint="eastAsia"/>
          <w:sz w:val="28"/>
          <w:szCs w:val="28"/>
        </w:rPr>
        <w:t>数据</w:t>
      </w:r>
      <w:r w:rsidRPr="000E3987">
        <w:rPr>
          <w:rFonts w:ascii="Times New Roman" w:eastAsia="仿宋_GB2312" w:hAnsi="Times New Roman" w:hint="eastAsia"/>
          <w:sz w:val="28"/>
          <w:szCs w:val="28"/>
        </w:rPr>
        <w:t>标准</w:t>
      </w:r>
      <w:r>
        <w:rPr>
          <w:rFonts w:ascii="Times New Roman" w:eastAsia="仿宋_GB2312" w:hAnsi="Times New Roman" w:hint="eastAsia"/>
          <w:sz w:val="28"/>
          <w:szCs w:val="28"/>
        </w:rPr>
        <w:t>中明确定义，不能在实例文档中随意修改。</w:t>
      </w:r>
    </w:p>
    <w:p w:rsidR="00A43390" w:rsidRDefault="00AE294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（二）在实例文档中，类型化维度“维度—函证编号”和“维度—自然序号”的所有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域成员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需根据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银行函证的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具体内容在实例文档中分别定义。请参见例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43390" w:rsidRDefault="00A43390">
      <w:pPr>
        <w:spacing w:before="120" w:afterLines="50" w:after="156"/>
        <w:outlineLvl w:val="0"/>
        <w:rPr>
          <w:rFonts w:ascii="Times New Roman" w:eastAsia="仿宋_GB2312" w:hAnsi="Times New Roman"/>
        </w:rPr>
        <w:sectPr w:rsidR="00A43390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A43390" w:rsidRDefault="00AE2941">
      <w:pPr>
        <w:spacing w:before="120"/>
        <w:jc w:val="left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/>
          <w:sz w:val="32"/>
          <w:szCs w:val="32"/>
        </w:rPr>
        <w:t>附录：</w:t>
      </w:r>
    </w:p>
    <w:p w:rsidR="000E3987" w:rsidRDefault="00AE2941">
      <w:pPr>
        <w:spacing w:before="120"/>
        <w:jc w:val="center"/>
        <w:outlineLvl w:val="0"/>
        <w:rPr>
          <w:rFonts w:ascii="黑体" w:eastAsia="黑体" w:hAnsi="Times New Roman"/>
          <w:sz w:val="44"/>
          <w:szCs w:val="44"/>
        </w:rPr>
      </w:pPr>
      <w:r>
        <w:rPr>
          <w:rFonts w:ascii="黑体" w:eastAsia="黑体" w:hAnsi="Times New Roman" w:hint="eastAsia"/>
          <w:sz w:val="44"/>
          <w:szCs w:val="44"/>
        </w:rPr>
        <w:t>《银行审计函证数据标准编报规则》</w:t>
      </w:r>
    </w:p>
    <w:p w:rsidR="00A43390" w:rsidRDefault="00AE2941">
      <w:pPr>
        <w:spacing w:before="120"/>
        <w:jc w:val="center"/>
        <w:outlineLvl w:val="0"/>
        <w:rPr>
          <w:rFonts w:ascii="黑体" w:eastAsia="黑体" w:hAnsi="Times New Roman"/>
          <w:sz w:val="44"/>
          <w:szCs w:val="44"/>
        </w:rPr>
      </w:pPr>
      <w:r>
        <w:rPr>
          <w:rFonts w:ascii="黑体" w:eastAsia="黑体" w:hAnsi="Times New Roman" w:hint="eastAsia"/>
          <w:sz w:val="44"/>
          <w:szCs w:val="44"/>
        </w:rPr>
        <w:t>应用示例</w:t>
      </w:r>
    </w:p>
    <w:p w:rsidR="00A43390" w:rsidRDefault="00A43390">
      <w:pPr>
        <w:spacing w:before="120"/>
        <w:jc w:val="center"/>
        <w:rPr>
          <w:rFonts w:ascii="Times New Roman" w:eastAsia="仿宋_GB2312" w:hAnsi="Times New Roman"/>
          <w:b/>
          <w:szCs w:val="28"/>
        </w:rPr>
      </w:pPr>
    </w:p>
    <w:p w:rsidR="00A43390" w:rsidRDefault="00AE2941">
      <w:pPr>
        <w:snapToGrid w:val="0"/>
        <w:spacing w:line="360" w:lineRule="auto"/>
        <w:ind w:firstLine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示例部分将以</w:t>
      </w:r>
      <w:r>
        <w:rPr>
          <w:rFonts w:ascii="Times New Roman" w:eastAsia="仿宋_GB2312" w:hAnsi="Times New Roman" w:hint="eastAsia"/>
          <w:sz w:val="28"/>
          <w:szCs w:val="28"/>
        </w:rPr>
        <w:t>被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证企业</w:t>
      </w:r>
      <w:r>
        <w:rPr>
          <w:rFonts w:ascii="Times New Roman" w:eastAsia="仿宋_GB2312" w:hAnsi="Times New Roman"/>
          <w:sz w:val="28"/>
          <w:szCs w:val="28"/>
        </w:rPr>
        <w:t>甲公司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询证银行乙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银行</w:t>
      </w:r>
      <w:r>
        <w:rPr>
          <w:rFonts w:ascii="Times New Roman" w:eastAsia="仿宋_GB2312" w:hAnsi="Times New Roman"/>
          <w:sz w:val="28"/>
          <w:szCs w:val="28"/>
        </w:rPr>
        <w:t>为例说明编报规则的应用。甲公司的中文名为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甲股份有限公司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</w:t>
      </w:r>
      <w:bookmarkStart w:id="1" w:name="_Hlk61287630"/>
      <w:r>
        <w:rPr>
          <w:rFonts w:ascii="Times New Roman" w:eastAsia="仿宋_GB2312" w:hAnsi="Times New Roman" w:hint="eastAsia"/>
          <w:sz w:val="28"/>
          <w:szCs w:val="28"/>
        </w:rPr>
        <w:t>统一社会信用代码</w:t>
      </w:r>
      <w:r>
        <w:rPr>
          <w:rFonts w:ascii="Times New Roman" w:eastAsia="仿宋_GB2312" w:hAnsi="Times New Roman"/>
          <w:sz w:val="28"/>
          <w:szCs w:val="28"/>
        </w:rPr>
        <w:t>为</w:t>
      </w:r>
      <w:bookmarkEnd w:id="1"/>
      <w:r>
        <w:rPr>
          <w:rFonts w:ascii="Times New Roman" w:eastAsia="仿宋_GB2312" w:hAnsi="Times New Roman"/>
          <w:sz w:val="28"/>
          <w:szCs w:val="28"/>
        </w:rPr>
        <w:t>111110000012345678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乙银行英文名为“</w:t>
      </w:r>
      <w:r>
        <w:rPr>
          <w:rFonts w:ascii="Times New Roman" w:eastAsia="仿宋_GB2312" w:hAnsi="Times New Roman" w:hint="eastAsia"/>
          <w:sz w:val="28"/>
          <w:szCs w:val="28"/>
        </w:rPr>
        <w:t>D</w:t>
      </w:r>
      <w:r>
        <w:rPr>
          <w:rFonts w:ascii="Times New Roman" w:eastAsia="仿宋_GB2312" w:hAnsi="Times New Roman"/>
          <w:sz w:val="28"/>
          <w:szCs w:val="28"/>
        </w:rPr>
        <w:t xml:space="preserve">EF </w:t>
      </w:r>
      <w:r>
        <w:rPr>
          <w:rFonts w:ascii="Times New Roman" w:eastAsia="仿宋_GB2312" w:hAnsi="Times New Roman" w:hint="eastAsia"/>
          <w:sz w:val="28"/>
          <w:szCs w:val="28"/>
        </w:rPr>
        <w:t>Bank</w:t>
      </w:r>
      <w:r>
        <w:rPr>
          <w:rFonts w:ascii="Times New Roman" w:eastAsia="仿宋_GB2312" w:hAnsi="Times New Roman" w:hint="eastAsia"/>
          <w:sz w:val="28"/>
          <w:szCs w:val="28"/>
        </w:rPr>
        <w:t>”，金融机构代码</w:t>
      </w:r>
      <w:r>
        <w:rPr>
          <w:rFonts w:ascii="Times New Roman" w:eastAsia="仿宋_GB2312" w:hAnsi="Times New Roman"/>
          <w:sz w:val="28"/>
          <w:szCs w:val="28"/>
        </w:rPr>
        <w:t>C1111110123456</w:t>
      </w:r>
      <w:r>
        <w:rPr>
          <w:rFonts w:ascii="Times New Roman" w:eastAsia="仿宋_GB2312" w:hAnsi="Times New Roman"/>
          <w:sz w:val="28"/>
          <w:szCs w:val="28"/>
        </w:rPr>
        <w:t>。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函证基准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日为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02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31</w:t>
      </w:r>
      <w:r>
        <w:rPr>
          <w:rFonts w:ascii="Times New Roman" w:eastAsia="仿宋_GB2312" w:hAnsi="Times New Roman" w:hint="eastAsia"/>
          <w:sz w:val="28"/>
          <w:szCs w:val="28"/>
        </w:rPr>
        <w:t>日，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函证编码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为</w:t>
      </w:r>
      <w:r>
        <w:rPr>
          <w:rFonts w:ascii="Times New Roman" w:eastAsia="仿宋_GB2312" w:hAnsi="Times New Roman"/>
          <w:sz w:val="28"/>
          <w:szCs w:val="28"/>
        </w:rPr>
        <w:t>123456789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>
        <w:rPr>
          <w:rFonts w:ascii="Times New Roman" w:eastAsia="仿宋_GB2312" w:hAnsi="Times New Roman"/>
          <w:sz w:val="28"/>
          <w:szCs w:val="28"/>
        </w:rPr>
        <w:t>甲公司银行数字函证中部分附注的顺序和层级如下表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所示：</w:t>
      </w:r>
    </w:p>
    <w:p w:rsidR="00A43390" w:rsidRDefault="00AE2941">
      <w:pPr>
        <w:snapToGrid w:val="0"/>
        <w:spacing w:beforeLines="50" w:before="120" w:afterLines="50" w:after="120"/>
        <w:jc w:val="center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表</w:t>
      </w:r>
      <w:r>
        <w:rPr>
          <w:rFonts w:ascii="Times New Roman" w:eastAsia="仿宋_GB2312" w:hAnsi="Times New Roman"/>
          <w:b/>
          <w:sz w:val="24"/>
          <w:szCs w:val="24"/>
        </w:rPr>
        <w:t>1</w:t>
      </w:r>
      <w:r>
        <w:rPr>
          <w:rFonts w:ascii="Times New Roman" w:eastAsia="仿宋_GB2312" w:hAnsi="Times New Roman" w:hint="eastAsia"/>
          <w:b/>
          <w:sz w:val="24"/>
          <w:szCs w:val="24"/>
        </w:rPr>
        <w:t>：截至</w:t>
      </w:r>
      <w:r>
        <w:rPr>
          <w:rFonts w:ascii="Times New Roman" w:eastAsia="仿宋_GB2312" w:hAnsi="Times New Roman" w:hint="eastAsia"/>
          <w:b/>
          <w:sz w:val="24"/>
          <w:szCs w:val="24"/>
        </w:rPr>
        <w:t>2</w:t>
      </w:r>
      <w:r>
        <w:rPr>
          <w:rFonts w:ascii="Times New Roman" w:eastAsia="仿宋_GB2312" w:hAnsi="Times New Roman"/>
          <w:b/>
          <w:sz w:val="24"/>
          <w:szCs w:val="24"/>
        </w:rPr>
        <w:t>020</w:t>
      </w:r>
      <w:r>
        <w:rPr>
          <w:rFonts w:ascii="Times New Roman" w:eastAsia="仿宋_GB2312" w:hAnsi="Times New Roman" w:hint="eastAsia"/>
          <w:b/>
          <w:sz w:val="24"/>
          <w:szCs w:val="24"/>
        </w:rPr>
        <w:t>年</w:t>
      </w:r>
      <w:r>
        <w:rPr>
          <w:rFonts w:ascii="Times New Roman" w:eastAsia="仿宋_GB2312" w:hAnsi="Times New Roman" w:hint="eastAsia"/>
          <w:b/>
          <w:sz w:val="24"/>
          <w:szCs w:val="24"/>
        </w:rPr>
        <w:t>1</w:t>
      </w:r>
      <w:r>
        <w:rPr>
          <w:rFonts w:ascii="Times New Roman" w:eastAsia="仿宋_GB2312" w:hAnsi="Times New Roman"/>
          <w:b/>
          <w:sz w:val="24"/>
          <w:szCs w:val="24"/>
        </w:rPr>
        <w:t>2</w:t>
      </w:r>
      <w:r>
        <w:rPr>
          <w:rFonts w:ascii="Times New Roman" w:eastAsia="仿宋_GB2312" w:hAnsi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 w:hint="eastAsia"/>
          <w:b/>
          <w:sz w:val="24"/>
          <w:szCs w:val="24"/>
        </w:rPr>
        <w:t>3</w:t>
      </w:r>
      <w:r>
        <w:rPr>
          <w:rFonts w:ascii="Times New Roman" w:eastAsia="仿宋_GB2312" w:hAnsi="Times New Roman"/>
          <w:b/>
          <w:sz w:val="24"/>
          <w:szCs w:val="24"/>
        </w:rPr>
        <w:t>1</w:t>
      </w:r>
      <w:r>
        <w:rPr>
          <w:rFonts w:ascii="Times New Roman" w:eastAsia="仿宋_GB2312" w:hAnsi="Times New Roman" w:hint="eastAsia"/>
          <w:b/>
          <w:sz w:val="24"/>
          <w:szCs w:val="24"/>
        </w:rPr>
        <w:t>日</w:t>
      </w:r>
      <w:r>
        <w:rPr>
          <w:rFonts w:ascii="Times New Roman" w:eastAsia="仿宋_GB2312" w:hAnsi="Times New Roman"/>
          <w:b/>
          <w:sz w:val="24"/>
          <w:szCs w:val="24"/>
        </w:rPr>
        <w:t>甲公司银行</w:t>
      </w:r>
      <w:r>
        <w:rPr>
          <w:rFonts w:ascii="Times New Roman" w:eastAsia="仿宋_GB2312" w:hAnsi="Times New Roman" w:hint="eastAsia"/>
          <w:b/>
          <w:sz w:val="24"/>
          <w:szCs w:val="24"/>
        </w:rPr>
        <w:t>审计</w:t>
      </w:r>
      <w:proofErr w:type="gramStart"/>
      <w:r>
        <w:rPr>
          <w:rFonts w:ascii="Times New Roman" w:eastAsia="仿宋_GB2312" w:hAnsi="Times New Roman"/>
          <w:b/>
          <w:sz w:val="24"/>
          <w:szCs w:val="24"/>
        </w:rPr>
        <w:t>数字函证</w:t>
      </w:r>
      <w:r>
        <w:rPr>
          <w:rFonts w:ascii="Times New Roman" w:eastAsia="仿宋_GB2312" w:hAnsi="Times New Roman" w:hint="eastAsia"/>
          <w:b/>
          <w:sz w:val="24"/>
          <w:szCs w:val="24"/>
        </w:rPr>
        <w:t>的</w:t>
      </w:r>
      <w:proofErr w:type="gramEnd"/>
      <w:r>
        <w:rPr>
          <w:rFonts w:ascii="Times New Roman" w:eastAsia="仿宋_GB2312" w:hAnsi="Times New Roman" w:hint="eastAsia"/>
          <w:b/>
          <w:sz w:val="24"/>
          <w:szCs w:val="24"/>
        </w:rPr>
        <w:t>内容和</w:t>
      </w:r>
      <w:r>
        <w:rPr>
          <w:rFonts w:ascii="Times New Roman" w:eastAsia="仿宋_GB2312" w:hAnsi="Times New Roman"/>
          <w:b/>
          <w:sz w:val="24"/>
          <w:szCs w:val="24"/>
        </w:rPr>
        <w:t>顺序</w:t>
      </w:r>
    </w:p>
    <w:tbl>
      <w:tblPr>
        <w:tblW w:w="852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148"/>
      </w:tblGrid>
      <w:tr w:rsidR="00A43390">
        <w:trPr>
          <w:trHeight w:val="457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8"/>
              </w:rPr>
              <w:t>扩展链接角色编号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8"/>
              </w:rPr>
              <w:t>银行审计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8"/>
              </w:rPr>
              <w:t>数字函证的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4"/>
                <w:szCs w:val="28"/>
              </w:rPr>
              <w:t>内容</w:t>
            </w:r>
          </w:p>
        </w:tc>
      </w:tr>
      <w:tr w:rsidR="00A43390">
        <w:trPr>
          <w:trHeight w:val="509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ind w:left="34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100200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ind w:left="34"/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基本信息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10020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银行存款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100202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银行借款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100203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注销的银行存款账户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100204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证企业作为委托人的委托贷款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100205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证企业作为借款人的委托贷款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100206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证企业为其他单位提供的、以被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为担保受益人的担保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100206a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向询证企业提供的担保（如保函业务、备用信用证业务等）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100207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证企业为出票人且由被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证银行承兑而尚未支付的银行承兑汇票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100208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证企业向被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已贴现而尚未到期的商业汇票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100209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证企业为持票人且由被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托收的商业汇票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100210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证企业为申请人，由被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开具的、未履行完毕的不可撤销信用证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证企业与被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之间未履行完毕的外汇买卖合约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证企业存放于被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托管的证券或其他产权文件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证企业购买的由被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发行的未到期银行理财产品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注册会计师认为重大且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应予函证的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项以外的其他事项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附表：资金归集（资金池或其他资金管理）账户具体信息</w:t>
            </w:r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验资业务银行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询证函</w:t>
            </w:r>
            <w:proofErr w:type="gramEnd"/>
          </w:p>
        </w:tc>
      </w:tr>
      <w:tr w:rsidR="00A43390">
        <w:trPr>
          <w:trHeight w:val="510"/>
          <w:jc w:val="center"/>
        </w:trPr>
        <w:tc>
          <w:tcPr>
            <w:tcW w:w="2375" w:type="dxa"/>
            <w:vAlign w:val="center"/>
          </w:tcPr>
          <w:p w:rsidR="00A43390" w:rsidRDefault="00AE2941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10021</w:t>
            </w: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6148" w:type="dxa"/>
            <w:vAlign w:val="center"/>
          </w:tcPr>
          <w:p w:rsidR="00A43390" w:rsidRDefault="00AE2941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结论或被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询证银行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确认</w:t>
            </w:r>
          </w:p>
        </w:tc>
      </w:tr>
    </w:tbl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【例</w:t>
      </w:r>
      <w:r>
        <w:rPr>
          <w:rFonts w:ascii="Times New Roman" w:eastAsia="黑体" w:hAnsi="Times New Roman"/>
          <w:sz w:val="28"/>
          <w:szCs w:val="28"/>
        </w:rPr>
        <w:t>1</w:t>
      </w:r>
      <w:r>
        <w:rPr>
          <w:rFonts w:ascii="Times New Roman" w:eastAsia="黑体" w:hAnsi="Times New Roman"/>
          <w:sz w:val="28"/>
          <w:szCs w:val="28"/>
        </w:rPr>
        <w:t>】</w:t>
      </w:r>
    </w:p>
    <w:p w:rsidR="00A43390" w:rsidRDefault="00AE2941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根据编报规则第九条的规定，截至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日，会计师事务所向乙银行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询证甲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公司情况的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数字函证</w:t>
      </w:r>
      <w:r>
        <w:rPr>
          <w:rFonts w:ascii="Times New Roman" w:eastAsia="仿宋_GB2312" w:hAnsi="Times New Roman"/>
          <w:kern w:val="0"/>
          <w:sz w:val="28"/>
          <w:szCs w:val="28"/>
        </w:rPr>
        <w:t>实例文档</w:t>
      </w:r>
      <w:r>
        <w:rPr>
          <w:rFonts w:ascii="Times New Roman" w:eastAsia="仿宋_GB2312" w:hAnsi="Times New Roman" w:hint="eastAsia"/>
          <w:sz w:val="28"/>
          <w:szCs w:val="28"/>
        </w:rPr>
        <w:t>名称应为“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23456789</w:t>
      </w:r>
      <w:r>
        <w:rPr>
          <w:rFonts w:ascii="Times New Roman" w:eastAsia="仿宋_GB2312" w:hAnsi="Times New Roman" w:hint="eastAsia"/>
          <w:sz w:val="28"/>
          <w:szCs w:val="28"/>
        </w:rPr>
        <w:t>-</w:t>
      </w:r>
      <w:r>
        <w:rPr>
          <w:rFonts w:ascii="Times New Roman" w:eastAsia="仿宋_GB2312" w:hAnsi="Times New Roman"/>
          <w:sz w:val="28"/>
          <w:szCs w:val="28"/>
        </w:rPr>
        <w:t>111110000012345678</w:t>
      </w:r>
      <w:r>
        <w:rPr>
          <w:rFonts w:ascii="Times New Roman" w:eastAsia="仿宋_GB2312" w:hAnsi="Times New Roman" w:hint="eastAsia"/>
          <w:sz w:val="28"/>
          <w:szCs w:val="28"/>
        </w:rPr>
        <w:t>-C</w:t>
      </w:r>
      <w:r>
        <w:rPr>
          <w:rFonts w:ascii="Times New Roman" w:eastAsia="仿宋_GB2312" w:hAnsi="Times New Roman"/>
          <w:sz w:val="28"/>
          <w:szCs w:val="28"/>
        </w:rPr>
        <w:t>111111</w:t>
      </w:r>
      <w:r>
        <w:rPr>
          <w:rFonts w:ascii="Times New Roman" w:eastAsia="仿宋_GB2312" w:hAnsi="Times New Roman" w:hint="eastAsia"/>
          <w:sz w:val="28"/>
          <w:szCs w:val="28"/>
        </w:rPr>
        <w:t>0123456 -20201231.xml</w:t>
      </w:r>
      <w:r>
        <w:rPr>
          <w:rFonts w:ascii="Times New Roman" w:eastAsia="仿宋_GB2312" w:hAnsi="Times New Roman" w:hint="eastAsia"/>
          <w:sz w:val="28"/>
          <w:szCs w:val="28"/>
        </w:rPr>
        <w:t>”。</w:t>
      </w:r>
    </w:p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【例</w:t>
      </w:r>
      <w:r>
        <w:rPr>
          <w:rFonts w:ascii="Times New Roman" w:eastAsia="黑体" w:hAnsi="Times New Roman" w:hint="eastAsia"/>
          <w:sz w:val="28"/>
          <w:szCs w:val="28"/>
        </w:rPr>
        <w:t>2</w:t>
      </w:r>
      <w:r>
        <w:rPr>
          <w:rFonts w:ascii="Times New Roman" w:eastAsia="黑体" w:hAnsi="Times New Roman"/>
          <w:sz w:val="28"/>
          <w:szCs w:val="28"/>
        </w:rPr>
        <w:t>】</w:t>
      </w:r>
    </w:p>
    <w:p w:rsidR="00A43390" w:rsidRDefault="00AE2941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根据编报规则第</w:t>
      </w:r>
      <w:r>
        <w:rPr>
          <w:rFonts w:ascii="Times New Roman" w:eastAsia="仿宋_GB2312" w:hAnsi="Times New Roman" w:hint="eastAsia"/>
          <w:sz w:val="28"/>
          <w:szCs w:val="28"/>
        </w:rPr>
        <w:t>九</w:t>
      </w:r>
      <w:r>
        <w:rPr>
          <w:rFonts w:ascii="Times New Roman" w:eastAsia="仿宋_GB2312" w:hAnsi="Times New Roman"/>
          <w:sz w:val="28"/>
          <w:szCs w:val="28"/>
        </w:rPr>
        <w:t>条（六）的规定，</w:t>
      </w:r>
      <w:r>
        <w:rPr>
          <w:rFonts w:ascii="Times New Roman" w:eastAsia="仿宋_GB2312" w:hAnsi="Times New Roman"/>
          <w:sz w:val="28"/>
          <w:szCs w:val="28"/>
        </w:rPr>
        <w:t>20%</w:t>
      </w:r>
      <w:r>
        <w:rPr>
          <w:rFonts w:ascii="Times New Roman" w:eastAsia="仿宋_GB2312" w:hAnsi="Times New Roman"/>
          <w:sz w:val="28"/>
          <w:szCs w:val="28"/>
        </w:rPr>
        <w:t>应表示为</w:t>
      </w:r>
      <w:r>
        <w:rPr>
          <w:rFonts w:ascii="Times New Roman" w:eastAsia="仿宋_GB2312" w:hAnsi="Times New Roman"/>
          <w:sz w:val="28"/>
          <w:szCs w:val="28"/>
        </w:rPr>
        <w:t>0.2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【例</w:t>
      </w:r>
      <w:r>
        <w:rPr>
          <w:rFonts w:ascii="Times New Roman" w:eastAsia="黑体" w:hAnsi="Times New Roman" w:hint="eastAsia"/>
          <w:sz w:val="28"/>
          <w:szCs w:val="28"/>
        </w:rPr>
        <w:t>3</w:t>
      </w:r>
      <w:r>
        <w:rPr>
          <w:rFonts w:ascii="Times New Roman" w:eastAsia="黑体" w:hAnsi="Times New Roman"/>
          <w:sz w:val="28"/>
          <w:szCs w:val="28"/>
        </w:rPr>
        <w:t>】</w:t>
      </w:r>
    </w:p>
    <w:p w:rsidR="00A43390" w:rsidRDefault="00AE2941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根据编报规则第</w:t>
      </w:r>
      <w:r>
        <w:rPr>
          <w:rFonts w:ascii="Times New Roman" w:eastAsia="仿宋_GB2312" w:hAnsi="Times New Roman" w:hint="eastAsia"/>
          <w:sz w:val="28"/>
          <w:szCs w:val="28"/>
        </w:rPr>
        <w:t>十</w:t>
      </w:r>
      <w:r>
        <w:rPr>
          <w:rFonts w:ascii="Times New Roman" w:eastAsia="仿宋_GB2312" w:hAnsi="Times New Roman"/>
          <w:sz w:val="28"/>
          <w:szCs w:val="28"/>
        </w:rPr>
        <w:t>条（二）的规定，如果</w:t>
      </w:r>
      <w:r>
        <w:rPr>
          <w:rFonts w:ascii="Times New Roman" w:eastAsia="仿宋_GB2312" w:hAnsi="Times New Roman" w:hint="eastAsia"/>
          <w:sz w:val="28"/>
          <w:szCs w:val="28"/>
        </w:rPr>
        <w:t>截至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31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银行函证列示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甲公司存在一笔银行借款，该笔借款实际的起始日期为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，则对该</w:t>
      </w:r>
      <w:r>
        <w:rPr>
          <w:rFonts w:ascii="Times New Roman" w:eastAsia="仿宋_GB2312" w:hAnsi="Times New Roman" w:hint="eastAsia"/>
          <w:sz w:val="28"/>
          <w:szCs w:val="28"/>
        </w:rPr>
        <w:t>笔借款起始日期信息</w:t>
      </w:r>
      <w:r>
        <w:rPr>
          <w:rFonts w:ascii="Times New Roman" w:eastAsia="仿宋_GB2312" w:hAnsi="Times New Roman"/>
          <w:sz w:val="28"/>
          <w:szCs w:val="28"/>
        </w:rPr>
        <w:t>进行标记时，应该将上下文的时期定义为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31</w:t>
      </w:r>
      <w:r>
        <w:rPr>
          <w:rFonts w:ascii="Times New Roman" w:eastAsia="仿宋_GB2312" w:hAnsi="Times New Roman"/>
          <w:sz w:val="28"/>
          <w:szCs w:val="28"/>
        </w:rPr>
        <w:t>日，而</w:t>
      </w:r>
      <w:r>
        <w:rPr>
          <w:rFonts w:ascii="Times New Roman" w:eastAsia="仿宋_GB2312" w:hAnsi="Times New Roman" w:hint="eastAsia"/>
          <w:sz w:val="28"/>
          <w:szCs w:val="28"/>
        </w:rPr>
        <w:t>非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日。</w:t>
      </w:r>
    </w:p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【例</w:t>
      </w:r>
      <w:r>
        <w:rPr>
          <w:rFonts w:ascii="Times New Roman" w:eastAsia="黑体" w:hAnsi="Times New Roman" w:hint="eastAsia"/>
          <w:sz w:val="28"/>
          <w:szCs w:val="28"/>
        </w:rPr>
        <w:t>4</w:t>
      </w:r>
      <w:r>
        <w:rPr>
          <w:rFonts w:ascii="Times New Roman" w:eastAsia="黑体" w:hAnsi="Times New Roman"/>
          <w:sz w:val="28"/>
          <w:szCs w:val="28"/>
        </w:rPr>
        <w:t>】</w:t>
      </w:r>
    </w:p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A43390">
          <w:footerReference w:type="default" r:id="rId11"/>
          <w:pgSz w:w="11907" w:h="16839"/>
          <w:pgMar w:top="1440" w:right="1800" w:bottom="1440" w:left="1800" w:header="720" w:footer="852" w:gutter="0"/>
          <w:cols w:space="720"/>
          <w:docGrid w:linePitch="360"/>
        </w:sectPr>
      </w:pPr>
      <w:r>
        <w:rPr>
          <w:rFonts w:ascii="Times New Roman" w:eastAsia="仿宋_GB2312" w:hAnsi="Times New Roman" w:hint="eastAsia"/>
          <w:sz w:val="28"/>
          <w:szCs w:val="28"/>
        </w:rPr>
        <w:t>截至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日，对甲公司情况向乙银行进行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的函证编号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为“</w:t>
      </w:r>
      <w:r>
        <w:rPr>
          <w:rFonts w:ascii="Times New Roman" w:eastAsia="仿宋_GB2312" w:hAnsi="Times New Roman" w:hint="eastAsia"/>
          <w:sz w:val="28"/>
          <w:szCs w:val="28"/>
        </w:rPr>
        <w:t>123456789</w:t>
      </w:r>
      <w:r>
        <w:rPr>
          <w:rFonts w:ascii="Times New Roman" w:eastAsia="仿宋_GB2312" w:hAnsi="Times New Roman" w:hint="eastAsia"/>
          <w:sz w:val="28"/>
          <w:szCs w:val="28"/>
        </w:rPr>
        <w:t>”，其中银行存款的部分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证内容如下：</w:t>
      </w:r>
    </w:p>
    <w:p w:rsidR="00A43390" w:rsidRDefault="00AE2941">
      <w:pPr>
        <w:snapToGrid w:val="0"/>
        <w:spacing w:before="120" w:after="120" w:line="360" w:lineRule="auto"/>
        <w:ind w:firstLineChars="200" w:firstLine="482"/>
        <w:jc w:val="center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表</w:t>
      </w:r>
      <w:r>
        <w:rPr>
          <w:rFonts w:ascii="Times New Roman" w:eastAsia="仿宋_GB2312" w:hAnsi="Times New Roman" w:hint="eastAsia"/>
          <w:b/>
          <w:sz w:val="24"/>
          <w:szCs w:val="28"/>
        </w:rPr>
        <w:t>2</w:t>
      </w:r>
      <w:r>
        <w:rPr>
          <w:rFonts w:ascii="Times New Roman" w:eastAsia="仿宋_GB2312" w:hAnsi="Times New Roman" w:hint="eastAsia"/>
          <w:b/>
          <w:sz w:val="24"/>
          <w:szCs w:val="28"/>
        </w:rPr>
        <w:t>：银行存款</w:t>
      </w:r>
      <w:proofErr w:type="gramStart"/>
      <w:r>
        <w:rPr>
          <w:rFonts w:ascii="Times New Roman" w:eastAsia="仿宋_GB2312" w:hAnsi="Times New Roman" w:hint="eastAsia"/>
          <w:b/>
          <w:sz w:val="24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b/>
          <w:sz w:val="24"/>
          <w:szCs w:val="28"/>
        </w:rPr>
        <w:t>证</w:t>
      </w:r>
      <w:r>
        <w:rPr>
          <w:rFonts w:ascii="Times New Roman" w:eastAsia="仿宋_GB2312" w:hAnsi="Times New Roman"/>
          <w:b/>
          <w:sz w:val="24"/>
          <w:szCs w:val="28"/>
        </w:rPr>
        <w:t>（片段）</w:t>
      </w:r>
    </w:p>
    <w:tbl>
      <w:tblPr>
        <w:tblW w:w="141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559"/>
        <w:gridCol w:w="851"/>
        <w:gridCol w:w="714"/>
        <w:gridCol w:w="1131"/>
        <w:gridCol w:w="1698"/>
        <w:gridCol w:w="1418"/>
        <w:gridCol w:w="1134"/>
        <w:gridCol w:w="1134"/>
        <w:gridCol w:w="1701"/>
        <w:gridCol w:w="885"/>
      </w:tblGrid>
      <w:tr w:rsidR="00A43390">
        <w:trPr>
          <w:trHeight w:val="1958"/>
          <w:tblHeader/>
          <w:jc w:val="center"/>
        </w:trPr>
        <w:tc>
          <w:tcPr>
            <w:tcW w:w="1950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账户</w:t>
            </w:r>
          </w:p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银行</w:t>
            </w:r>
          </w:p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账号</w:t>
            </w:r>
          </w:p>
        </w:tc>
        <w:tc>
          <w:tcPr>
            <w:tcW w:w="85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币种</w:t>
            </w:r>
          </w:p>
        </w:tc>
        <w:tc>
          <w:tcPr>
            <w:tcW w:w="714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利率</w:t>
            </w:r>
          </w:p>
        </w:tc>
        <w:tc>
          <w:tcPr>
            <w:tcW w:w="113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账户类型</w:t>
            </w:r>
          </w:p>
        </w:tc>
        <w:tc>
          <w:tcPr>
            <w:tcW w:w="1698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账户余额</w:t>
            </w:r>
          </w:p>
        </w:tc>
        <w:tc>
          <w:tcPr>
            <w:tcW w:w="1418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是否属于资金归集（资金池或其他资金管理）账户</w:t>
            </w:r>
          </w:p>
        </w:tc>
        <w:tc>
          <w:tcPr>
            <w:tcW w:w="1134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起始日期</w:t>
            </w:r>
          </w:p>
        </w:tc>
        <w:tc>
          <w:tcPr>
            <w:tcW w:w="1134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终止日期</w:t>
            </w:r>
          </w:p>
        </w:tc>
        <w:tc>
          <w:tcPr>
            <w:tcW w:w="170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是否存在冻结、担保或其他使用限制（如是，请注明）</w:t>
            </w:r>
          </w:p>
        </w:tc>
        <w:tc>
          <w:tcPr>
            <w:tcW w:w="885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A43390">
        <w:trPr>
          <w:trHeight w:val="1206"/>
          <w:jc w:val="center"/>
        </w:trPr>
        <w:tc>
          <w:tcPr>
            <w:tcW w:w="1950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甲股份有限公司</w:t>
            </w:r>
          </w:p>
        </w:tc>
        <w:tc>
          <w:tcPr>
            <w:tcW w:w="1559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03003xxxx81</w:t>
            </w:r>
          </w:p>
        </w:tc>
        <w:tc>
          <w:tcPr>
            <w:tcW w:w="85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CNY</w:t>
            </w:r>
          </w:p>
        </w:tc>
        <w:tc>
          <w:tcPr>
            <w:tcW w:w="714" w:type="dxa"/>
            <w:vAlign w:val="center"/>
          </w:tcPr>
          <w:p w:rsidR="00A43390" w:rsidRDefault="00A4339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一般户</w:t>
            </w:r>
          </w:p>
        </w:tc>
        <w:tc>
          <w:tcPr>
            <w:tcW w:w="1698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19,345.08</w:t>
            </w:r>
          </w:p>
        </w:tc>
        <w:tc>
          <w:tcPr>
            <w:tcW w:w="1418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A43390" w:rsidRDefault="00A4339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390" w:rsidRDefault="00A4339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885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活期</w:t>
            </w:r>
          </w:p>
        </w:tc>
      </w:tr>
      <w:tr w:rsidR="00A43390">
        <w:trPr>
          <w:trHeight w:val="1204"/>
          <w:jc w:val="center"/>
        </w:trPr>
        <w:tc>
          <w:tcPr>
            <w:tcW w:w="1950" w:type="dxa"/>
            <w:vAlign w:val="center"/>
          </w:tcPr>
          <w:p w:rsidR="00A43390" w:rsidRDefault="00AE29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851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14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131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698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885" w:type="dxa"/>
            <w:vAlign w:val="center"/>
          </w:tcPr>
          <w:p w:rsidR="00A43390" w:rsidRDefault="00AE294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</w:tr>
    </w:tbl>
    <w:p w:rsidR="00A43390" w:rsidRDefault="00A43390">
      <w:pPr>
        <w:snapToGrid w:val="0"/>
        <w:spacing w:before="120" w:after="120"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A43390">
          <w:pgSz w:w="16839" w:h="11907" w:orient="landscape"/>
          <w:pgMar w:top="1800" w:right="1440" w:bottom="1800" w:left="1440" w:header="720" w:footer="852" w:gutter="0"/>
          <w:cols w:space="720"/>
          <w:docGrid w:linePitch="360"/>
        </w:sectPr>
      </w:pPr>
    </w:p>
    <w:p w:rsidR="00A43390" w:rsidRDefault="00AE2941">
      <w:pPr>
        <w:snapToGrid w:val="0"/>
        <w:spacing w:before="120" w:after="120"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根据编报规则第</w:t>
      </w:r>
      <w:r>
        <w:rPr>
          <w:rFonts w:ascii="Times New Roman" w:eastAsia="仿宋_GB2312" w:hAnsi="Times New Roman" w:hint="eastAsia"/>
          <w:sz w:val="28"/>
          <w:szCs w:val="28"/>
        </w:rPr>
        <w:t>十三</w:t>
      </w:r>
      <w:r>
        <w:rPr>
          <w:rFonts w:ascii="Times New Roman" w:eastAsia="仿宋_GB2312" w:hAnsi="Times New Roman"/>
          <w:sz w:val="28"/>
          <w:szCs w:val="28"/>
        </w:rPr>
        <w:t>条的规定，</w:t>
      </w:r>
      <w:r>
        <w:rPr>
          <w:rFonts w:ascii="Times New Roman" w:eastAsia="仿宋_GB2312" w:hAnsi="Times New Roman" w:hint="eastAsia"/>
          <w:sz w:val="28"/>
          <w:szCs w:val="28"/>
        </w:rPr>
        <w:t>以表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“银行存款”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询证信息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为例，其第一行数据中“账户余额”的标记方式应为：</w:t>
      </w:r>
    </w:p>
    <w:tbl>
      <w:tblPr>
        <w:tblW w:w="9164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164"/>
      </w:tblGrid>
      <w:tr w:rsidR="00A43390">
        <w:trPr>
          <w:trHeight w:val="1899"/>
        </w:trPr>
        <w:tc>
          <w:tcPr>
            <w:tcW w:w="9164" w:type="dxa"/>
            <w:shd w:val="clear" w:color="auto" w:fill="F2F2F2"/>
          </w:tcPr>
          <w:p w:rsidR="00A43390" w:rsidRPr="000E3987" w:rsidRDefault="00AE2941">
            <w:pPr>
              <w:pStyle w:val="af0"/>
              <w:spacing w:afterLines="100" w:after="240" w:line="560" w:lineRule="exact"/>
              <w:ind w:firstLineChars="0" w:firstLine="0"/>
              <w:rPr>
                <w:sz w:val="24"/>
                <w:szCs w:val="24"/>
                <w:lang w:val="en-GB"/>
              </w:rPr>
            </w:pPr>
            <w:bookmarkStart w:id="2" w:name="_Hlk61351082"/>
            <w:r>
              <w:rPr>
                <w:sz w:val="24"/>
                <w:szCs w:val="24"/>
              </w:rPr>
              <w:t>&lt;</w:t>
            </w:r>
            <w:proofErr w:type="spellStart"/>
            <w:proofErr w:type="gramStart"/>
            <w:r>
              <w:rPr>
                <w:sz w:val="24"/>
                <w:szCs w:val="24"/>
              </w:rPr>
              <w:t>con:BankBalance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contextRef="As_of_2020_12_31_ItemsOfBankConfirmationAxis_BankDepositMember_NumberOfConfirmationLineNumberAxis_123456789_NumberOfNaturalSequenceLineNumberAxis_1" decimals="2" </w:t>
            </w:r>
            <w:proofErr w:type="spellStart"/>
            <w:r>
              <w:rPr>
                <w:sz w:val="24"/>
                <w:szCs w:val="24"/>
              </w:rPr>
              <w:t>unitRef</w:t>
            </w:r>
            <w:proofErr w:type="spellEnd"/>
            <w:r>
              <w:rPr>
                <w:sz w:val="24"/>
                <w:szCs w:val="24"/>
              </w:rPr>
              <w:t>="CNY"&gt;19,345.08&lt;/</w:t>
            </w:r>
            <w:proofErr w:type="spellStart"/>
            <w:r>
              <w:rPr>
                <w:sz w:val="24"/>
                <w:szCs w:val="24"/>
              </w:rPr>
              <w:t>con:BankBalance</w:t>
            </w:r>
            <w:proofErr w:type="spellEnd"/>
            <w:r>
              <w:rPr>
                <w:sz w:val="24"/>
                <w:szCs w:val="24"/>
              </w:rPr>
              <w:t xml:space="preserve"> &gt;</w:t>
            </w:r>
          </w:p>
        </w:tc>
      </w:tr>
    </w:tbl>
    <w:bookmarkEnd w:id="2"/>
    <w:p w:rsidR="00A43390" w:rsidRDefault="00AE2941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其中，明确维度</w:t>
      </w:r>
      <w:proofErr w:type="spellStart"/>
      <w:r>
        <w:rPr>
          <w:rFonts w:ascii="Times New Roman" w:eastAsia="仿宋_GB2312" w:hAnsi="Times New Roman"/>
          <w:sz w:val="28"/>
          <w:szCs w:val="28"/>
        </w:rPr>
        <w:t>ItemsOfBankConfirmationAxis</w:t>
      </w:r>
      <w:proofErr w:type="spellEnd"/>
      <w:r>
        <w:rPr>
          <w:rFonts w:ascii="Times New Roman" w:eastAsia="仿宋_GB2312" w:hAnsi="Times New Roman" w:hint="eastAsia"/>
          <w:sz w:val="28"/>
          <w:szCs w:val="28"/>
        </w:rPr>
        <w:t>（银行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证项目）下必须使用银行审计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函证数据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标准中已定义的</w:t>
      </w:r>
      <w:proofErr w:type="spellStart"/>
      <w:r>
        <w:rPr>
          <w:rFonts w:ascii="Times New Roman" w:eastAsia="仿宋_GB2312" w:hAnsi="Times New Roman"/>
          <w:sz w:val="28"/>
          <w:szCs w:val="28"/>
        </w:rPr>
        <w:t>BankDepositMember</w:t>
      </w:r>
      <w:proofErr w:type="spellEnd"/>
      <w:r>
        <w:rPr>
          <w:rFonts w:ascii="Times New Roman" w:eastAsia="仿宋_GB2312" w:hAnsi="Times New Roman" w:hint="eastAsia"/>
          <w:sz w:val="28"/>
          <w:szCs w:val="28"/>
        </w:rPr>
        <w:t>（银行存款）域成员，不得随意修改或新增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域成员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的元素名。类型化维度</w:t>
      </w:r>
      <w:proofErr w:type="spellStart"/>
      <w:r>
        <w:rPr>
          <w:rFonts w:ascii="Times New Roman" w:eastAsia="仿宋_GB2312" w:hAnsi="Times New Roman"/>
          <w:sz w:val="28"/>
          <w:szCs w:val="28"/>
        </w:rPr>
        <w:t>NumberOfConfirmationLineNumberAxis</w:t>
      </w:r>
      <w:proofErr w:type="spellEnd"/>
      <w:r>
        <w:rPr>
          <w:rFonts w:ascii="Times New Roman" w:eastAsia="仿宋_GB2312" w:hAnsi="Times New Roman" w:hint="eastAsia"/>
          <w:sz w:val="28"/>
          <w:szCs w:val="28"/>
        </w:rPr>
        <w:t>（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函证编号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）下使用的编号“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23456789</w:t>
      </w:r>
      <w:r>
        <w:rPr>
          <w:rFonts w:ascii="Times New Roman" w:eastAsia="仿宋_GB2312" w:hAnsi="Times New Roman" w:hint="eastAsia"/>
          <w:sz w:val="28"/>
          <w:szCs w:val="28"/>
        </w:rPr>
        <w:t>”和</w:t>
      </w:r>
      <w:proofErr w:type="spellStart"/>
      <w:r>
        <w:rPr>
          <w:rFonts w:ascii="Times New Roman" w:eastAsia="仿宋_GB2312" w:hAnsi="Times New Roman"/>
          <w:sz w:val="28"/>
          <w:szCs w:val="28"/>
        </w:rPr>
        <w:t>NumberOfNaturalSequenceLineNumberAxis</w:t>
      </w:r>
      <w:proofErr w:type="spellEnd"/>
      <w:r>
        <w:rPr>
          <w:rFonts w:ascii="Times New Roman" w:eastAsia="仿宋_GB2312" w:hAnsi="Times New Roman" w:hint="eastAsia"/>
          <w:sz w:val="28"/>
          <w:szCs w:val="28"/>
        </w:rPr>
        <w:t>（自然序号）下使用的表格行次“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”均是根据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实际函证的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具体内容在实例文档中定义的域成员。</w:t>
      </w:r>
    </w:p>
    <w:p w:rsidR="00A43390" w:rsidRDefault="00A43390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sectPr w:rsidR="00A43390">
      <w:pgSz w:w="11907" w:h="16839"/>
      <w:pgMar w:top="1440" w:right="1800" w:bottom="1440" w:left="1800" w:header="720" w:footer="8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48" w:rsidRDefault="000C2648">
      <w:pPr>
        <w:spacing w:after="0" w:line="240" w:lineRule="auto"/>
      </w:pPr>
      <w:r>
        <w:separator/>
      </w:r>
    </w:p>
  </w:endnote>
  <w:endnote w:type="continuationSeparator" w:id="0">
    <w:p w:rsidR="000C2648" w:rsidRDefault="000C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90" w:rsidRDefault="00AE294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3</w:t>
    </w:r>
    <w:r>
      <w:rPr>
        <w:rStyle w:val="ac"/>
      </w:rPr>
      <w:fldChar w:fldCharType="end"/>
    </w:r>
  </w:p>
  <w:p w:rsidR="00A43390" w:rsidRDefault="00A433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90" w:rsidRDefault="00AE2941">
    <w:pPr>
      <w:pStyle w:val="a7"/>
      <w:framePr w:wrap="around" w:vAnchor="text" w:hAnchor="margin" w:xAlign="center" w:y="1"/>
      <w:rPr>
        <w:rStyle w:val="ac"/>
        <w:rFonts w:ascii="Times New Roman" w:hAnsi="Times New Roman"/>
        <w:sz w:val="22"/>
        <w:szCs w:val="22"/>
      </w:rPr>
    </w:pPr>
    <w:r>
      <w:rPr>
        <w:rStyle w:val="ac"/>
        <w:rFonts w:ascii="Times New Roman" w:hAnsi="Times New Roman"/>
        <w:sz w:val="22"/>
        <w:szCs w:val="22"/>
      </w:rPr>
      <w:fldChar w:fldCharType="begin"/>
    </w:r>
    <w:r>
      <w:rPr>
        <w:rStyle w:val="ac"/>
        <w:rFonts w:ascii="Times New Roman" w:hAnsi="Times New Roman"/>
        <w:sz w:val="22"/>
        <w:szCs w:val="22"/>
      </w:rPr>
      <w:instrText xml:space="preserve">PAGE  </w:instrText>
    </w:r>
    <w:r>
      <w:rPr>
        <w:rStyle w:val="ac"/>
        <w:rFonts w:ascii="Times New Roman" w:hAnsi="Times New Roman"/>
        <w:sz w:val="22"/>
        <w:szCs w:val="22"/>
      </w:rPr>
      <w:fldChar w:fldCharType="separate"/>
    </w:r>
    <w:r>
      <w:rPr>
        <w:rStyle w:val="ac"/>
        <w:rFonts w:ascii="Times New Roman" w:hAnsi="Times New Roman"/>
        <w:sz w:val="22"/>
        <w:szCs w:val="22"/>
      </w:rPr>
      <w:t>1</w:t>
    </w:r>
    <w:r>
      <w:rPr>
        <w:rStyle w:val="ac"/>
        <w:rFonts w:ascii="Times New Roman" w:hAnsi="Times New Roman"/>
        <w:sz w:val="22"/>
        <w:szCs w:val="22"/>
      </w:rPr>
      <w:fldChar w:fldCharType="end"/>
    </w:r>
  </w:p>
  <w:p w:rsidR="00A43390" w:rsidRDefault="00A433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90" w:rsidRDefault="00AE2941">
    <w:pPr>
      <w:pStyle w:val="a7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19</w:t>
    </w:r>
    <w:r>
      <w:rPr>
        <w:rFonts w:ascii="Times New Roman" w:hAnsi="Times New Roman"/>
      </w:rPr>
      <w:fldChar w:fldCharType="end"/>
    </w:r>
  </w:p>
  <w:p w:rsidR="00A43390" w:rsidRDefault="00A433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48" w:rsidRDefault="000C2648">
      <w:pPr>
        <w:spacing w:after="0" w:line="240" w:lineRule="auto"/>
      </w:pPr>
      <w:r>
        <w:separator/>
      </w:r>
    </w:p>
  </w:footnote>
  <w:footnote w:type="continuationSeparator" w:id="0">
    <w:p w:rsidR="000C2648" w:rsidRDefault="000C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31DAC"/>
    <w:multiLevelType w:val="multilevel"/>
    <w:tmpl w:val="77831DAC"/>
    <w:lvl w:ilvl="0">
      <w:start w:val="1"/>
      <w:numFmt w:val="chineseCountingThousand"/>
      <w:lvlText w:val="第%1条"/>
      <w:lvlJc w:val="left"/>
      <w:pPr>
        <w:tabs>
          <w:tab w:val="left" w:pos="1205"/>
        </w:tabs>
        <w:ind w:firstLine="560"/>
      </w:pPr>
      <w:rPr>
        <w:rFonts w:eastAsia="黑体" w:cs="Times New Roman" w:hint="eastAsia"/>
        <w:sz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oNotHyphenateCaps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40C9"/>
    <w:rsid w:val="00004FD8"/>
    <w:rsid w:val="0000788C"/>
    <w:rsid w:val="00010FD9"/>
    <w:rsid w:val="000127DE"/>
    <w:rsid w:val="00015442"/>
    <w:rsid w:val="00017F90"/>
    <w:rsid w:val="00023B1E"/>
    <w:rsid w:val="00025D06"/>
    <w:rsid w:val="00026CE5"/>
    <w:rsid w:val="00027F6B"/>
    <w:rsid w:val="000351CB"/>
    <w:rsid w:val="00035959"/>
    <w:rsid w:val="00046786"/>
    <w:rsid w:val="00053AE2"/>
    <w:rsid w:val="0005410A"/>
    <w:rsid w:val="00055987"/>
    <w:rsid w:val="000562C7"/>
    <w:rsid w:val="00056701"/>
    <w:rsid w:val="000577E3"/>
    <w:rsid w:val="00062309"/>
    <w:rsid w:val="000648FE"/>
    <w:rsid w:val="0007712C"/>
    <w:rsid w:val="0008258B"/>
    <w:rsid w:val="00083326"/>
    <w:rsid w:val="00085822"/>
    <w:rsid w:val="00090EEB"/>
    <w:rsid w:val="000928E5"/>
    <w:rsid w:val="00096345"/>
    <w:rsid w:val="00096AFE"/>
    <w:rsid w:val="00097945"/>
    <w:rsid w:val="000A1029"/>
    <w:rsid w:val="000A28C7"/>
    <w:rsid w:val="000A72C4"/>
    <w:rsid w:val="000B02A5"/>
    <w:rsid w:val="000B0432"/>
    <w:rsid w:val="000B29D2"/>
    <w:rsid w:val="000B3E14"/>
    <w:rsid w:val="000C0389"/>
    <w:rsid w:val="000C0FBA"/>
    <w:rsid w:val="000C2648"/>
    <w:rsid w:val="000C3199"/>
    <w:rsid w:val="000C54D6"/>
    <w:rsid w:val="000D0366"/>
    <w:rsid w:val="000D2786"/>
    <w:rsid w:val="000D3428"/>
    <w:rsid w:val="000D3726"/>
    <w:rsid w:val="000D5D6A"/>
    <w:rsid w:val="000D73A2"/>
    <w:rsid w:val="000E189B"/>
    <w:rsid w:val="000E3987"/>
    <w:rsid w:val="000E422B"/>
    <w:rsid w:val="000E4928"/>
    <w:rsid w:val="000E6303"/>
    <w:rsid w:val="000F2589"/>
    <w:rsid w:val="000F2ABF"/>
    <w:rsid w:val="000F5774"/>
    <w:rsid w:val="000F6094"/>
    <w:rsid w:val="000F611B"/>
    <w:rsid w:val="000F743B"/>
    <w:rsid w:val="0010112D"/>
    <w:rsid w:val="00102287"/>
    <w:rsid w:val="001027BB"/>
    <w:rsid w:val="00102E5A"/>
    <w:rsid w:val="00103D53"/>
    <w:rsid w:val="00107B67"/>
    <w:rsid w:val="00110893"/>
    <w:rsid w:val="00115872"/>
    <w:rsid w:val="001166E5"/>
    <w:rsid w:val="00116A5F"/>
    <w:rsid w:val="00124DC8"/>
    <w:rsid w:val="00127EAD"/>
    <w:rsid w:val="00131874"/>
    <w:rsid w:val="00132251"/>
    <w:rsid w:val="00132C71"/>
    <w:rsid w:val="00134A69"/>
    <w:rsid w:val="00135CEC"/>
    <w:rsid w:val="001376CC"/>
    <w:rsid w:val="00140543"/>
    <w:rsid w:val="001413AA"/>
    <w:rsid w:val="00144965"/>
    <w:rsid w:val="00144A2F"/>
    <w:rsid w:val="00146191"/>
    <w:rsid w:val="001473CC"/>
    <w:rsid w:val="00150A4D"/>
    <w:rsid w:val="00151F53"/>
    <w:rsid w:val="001550F1"/>
    <w:rsid w:val="00155367"/>
    <w:rsid w:val="00160DB5"/>
    <w:rsid w:val="0016354D"/>
    <w:rsid w:val="001638AA"/>
    <w:rsid w:val="0016401E"/>
    <w:rsid w:val="0016509F"/>
    <w:rsid w:val="00170881"/>
    <w:rsid w:val="001726FF"/>
    <w:rsid w:val="00172A27"/>
    <w:rsid w:val="001754AD"/>
    <w:rsid w:val="00177664"/>
    <w:rsid w:val="0018498A"/>
    <w:rsid w:val="00186711"/>
    <w:rsid w:val="001941FE"/>
    <w:rsid w:val="001A499E"/>
    <w:rsid w:val="001A79DD"/>
    <w:rsid w:val="001B4351"/>
    <w:rsid w:val="001B645A"/>
    <w:rsid w:val="001B7996"/>
    <w:rsid w:val="001C00C3"/>
    <w:rsid w:val="001C0581"/>
    <w:rsid w:val="001C23F9"/>
    <w:rsid w:val="001C2B04"/>
    <w:rsid w:val="001C4AD0"/>
    <w:rsid w:val="001C6261"/>
    <w:rsid w:val="001C75F3"/>
    <w:rsid w:val="001D0A0B"/>
    <w:rsid w:val="001D27DB"/>
    <w:rsid w:val="001D2AAC"/>
    <w:rsid w:val="001D2C62"/>
    <w:rsid w:val="001D5BCF"/>
    <w:rsid w:val="001D6BFF"/>
    <w:rsid w:val="001E6211"/>
    <w:rsid w:val="001E623E"/>
    <w:rsid w:val="001F2F2B"/>
    <w:rsid w:val="001F49D5"/>
    <w:rsid w:val="001F4A0D"/>
    <w:rsid w:val="001F540D"/>
    <w:rsid w:val="002028D6"/>
    <w:rsid w:val="00204BD9"/>
    <w:rsid w:val="00205754"/>
    <w:rsid w:val="00211CF3"/>
    <w:rsid w:val="00213B19"/>
    <w:rsid w:val="002144F9"/>
    <w:rsid w:val="00215BFF"/>
    <w:rsid w:val="00216064"/>
    <w:rsid w:val="0021687A"/>
    <w:rsid w:val="00220F93"/>
    <w:rsid w:val="00221B0D"/>
    <w:rsid w:val="002243D2"/>
    <w:rsid w:val="0022634F"/>
    <w:rsid w:val="00233E6F"/>
    <w:rsid w:val="00234AF6"/>
    <w:rsid w:val="00237310"/>
    <w:rsid w:val="0024392E"/>
    <w:rsid w:val="00243DB4"/>
    <w:rsid w:val="002462C7"/>
    <w:rsid w:val="00247568"/>
    <w:rsid w:val="00252628"/>
    <w:rsid w:val="00254B23"/>
    <w:rsid w:val="00254CAF"/>
    <w:rsid w:val="00260B6B"/>
    <w:rsid w:val="002629D5"/>
    <w:rsid w:val="002644F1"/>
    <w:rsid w:val="00264BC9"/>
    <w:rsid w:val="002700DA"/>
    <w:rsid w:val="0027085F"/>
    <w:rsid w:val="00272CBD"/>
    <w:rsid w:val="002762E6"/>
    <w:rsid w:val="00283041"/>
    <w:rsid w:val="00293F85"/>
    <w:rsid w:val="00295CED"/>
    <w:rsid w:val="00296384"/>
    <w:rsid w:val="002A7543"/>
    <w:rsid w:val="002B3102"/>
    <w:rsid w:val="002B422E"/>
    <w:rsid w:val="002B506A"/>
    <w:rsid w:val="002C0486"/>
    <w:rsid w:val="002C1676"/>
    <w:rsid w:val="002C363E"/>
    <w:rsid w:val="002C50AF"/>
    <w:rsid w:val="002C5981"/>
    <w:rsid w:val="002C61FE"/>
    <w:rsid w:val="002C6600"/>
    <w:rsid w:val="002D4AD6"/>
    <w:rsid w:val="002E3DB5"/>
    <w:rsid w:val="002E6333"/>
    <w:rsid w:val="002F3C2E"/>
    <w:rsid w:val="002F7846"/>
    <w:rsid w:val="003005AB"/>
    <w:rsid w:val="003029A2"/>
    <w:rsid w:val="00303F8E"/>
    <w:rsid w:val="003045F3"/>
    <w:rsid w:val="00305782"/>
    <w:rsid w:val="00306070"/>
    <w:rsid w:val="00307F39"/>
    <w:rsid w:val="003122A7"/>
    <w:rsid w:val="0031452D"/>
    <w:rsid w:val="00314570"/>
    <w:rsid w:val="003151D0"/>
    <w:rsid w:val="00316C72"/>
    <w:rsid w:val="0032097D"/>
    <w:rsid w:val="00320CAB"/>
    <w:rsid w:val="003210FB"/>
    <w:rsid w:val="00321D8B"/>
    <w:rsid w:val="00322831"/>
    <w:rsid w:val="00322F81"/>
    <w:rsid w:val="00322F88"/>
    <w:rsid w:val="00327B8D"/>
    <w:rsid w:val="00327E73"/>
    <w:rsid w:val="00332536"/>
    <w:rsid w:val="00337C93"/>
    <w:rsid w:val="00340145"/>
    <w:rsid w:val="003421E7"/>
    <w:rsid w:val="00345D70"/>
    <w:rsid w:val="00345F41"/>
    <w:rsid w:val="00346866"/>
    <w:rsid w:val="00346AD1"/>
    <w:rsid w:val="00352A24"/>
    <w:rsid w:val="00352DD9"/>
    <w:rsid w:val="00354038"/>
    <w:rsid w:val="00355682"/>
    <w:rsid w:val="00356A97"/>
    <w:rsid w:val="00362347"/>
    <w:rsid w:val="0037229C"/>
    <w:rsid w:val="00373055"/>
    <w:rsid w:val="00373888"/>
    <w:rsid w:val="00373D83"/>
    <w:rsid w:val="00375A97"/>
    <w:rsid w:val="00382995"/>
    <w:rsid w:val="00382A8B"/>
    <w:rsid w:val="003839E3"/>
    <w:rsid w:val="00383F40"/>
    <w:rsid w:val="00391160"/>
    <w:rsid w:val="003922E6"/>
    <w:rsid w:val="00392335"/>
    <w:rsid w:val="003934B3"/>
    <w:rsid w:val="00394072"/>
    <w:rsid w:val="003A29F5"/>
    <w:rsid w:val="003A30A6"/>
    <w:rsid w:val="003A4649"/>
    <w:rsid w:val="003A57D4"/>
    <w:rsid w:val="003B0761"/>
    <w:rsid w:val="003B480A"/>
    <w:rsid w:val="003B4C18"/>
    <w:rsid w:val="003B4D5A"/>
    <w:rsid w:val="003C0C6A"/>
    <w:rsid w:val="003C2419"/>
    <w:rsid w:val="003C4833"/>
    <w:rsid w:val="003C6E87"/>
    <w:rsid w:val="003C770D"/>
    <w:rsid w:val="003D0286"/>
    <w:rsid w:val="003D112F"/>
    <w:rsid w:val="003D1166"/>
    <w:rsid w:val="003D429B"/>
    <w:rsid w:val="003D55D4"/>
    <w:rsid w:val="003D577D"/>
    <w:rsid w:val="003D60BD"/>
    <w:rsid w:val="003D7C09"/>
    <w:rsid w:val="003E0215"/>
    <w:rsid w:val="003E0467"/>
    <w:rsid w:val="003E712C"/>
    <w:rsid w:val="003E7446"/>
    <w:rsid w:val="003E7EB2"/>
    <w:rsid w:val="003F2EDE"/>
    <w:rsid w:val="00401068"/>
    <w:rsid w:val="004013C8"/>
    <w:rsid w:val="00403786"/>
    <w:rsid w:val="00403E17"/>
    <w:rsid w:val="00411F93"/>
    <w:rsid w:val="00415280"/>
    <w:rsid w:val="00416B02"/>
    <w:rsid w:val="00417644"/>
    <w:rsid w:val="004203C0"/>
    <w:rsid w:val="00420BB3"/>
    <w:rsid w:val="00421677"/>
    <w:rsid w:val="00423BA8"/>
    <w:rsid w:val="00424B60"/>
    <w:rsid w:val="00425FE4"/>
    <w:rsid w:val="00426582"/>
    <w:rsid w:val="00427C4F"/>
    <w:rsid w:val="00430619"/>
    <w:rsid w:val="00430A28"/>
    <w:rsid w:val="00432A0E"/>
    <w:rsid w:val="004341CA"/>
    <w:rsid w:val="00436DA8"/>
    <w:rsid w:val="00437648"/>
    <w:rsid w:val="00444652"/>
    <w:rsid w:val="00450E84"/>
    <w:rsid w:val="00451F68"/>
    <w:rsid w:val="00457F5E"/>
    <w:rsid w:val="00457FE7"/>
    <w:rsid w:val="004679C4"/>
    <w:rsid w:val="00471E97"/>
    <w:rsid w:val="00477B19"/>
    <w:rsid w:val="00480885"/>
    <w:rsid w:val="00484AC4"/>
    <w:rsid w:val="00486CAD"/>
    <w:rsid w:val="0049556F"/>
    <w:rsid w:val="00495D84"/>
    <w:rsid w:val="004972AB"/>
    <w:rsid w:val="004A24C7"/>
    <w:rsid w:val="004A3863"/>
    <w:rsid w:val="004A5A63"/>
    <w:rsid w:val="004A7082"/>
    <w:rsid w:val="004B1BE0"/>
    <w:rsid w:val="004B371A"/>
    <w:rsid w:val="004B574F"/>
    <w:rsid w:val="004C1697"/>
    <w:rsid w:val="004C20B9"/>
    <w:rsid w:val="004C28AF"/>
    <w:rsid w:val="004C2D27"/>
    <w:rsid w:val="004C3652"/>
    <w:rsid w:val="004C49E9"/>
    <w:rsid w:val="004C72C1"/>
    <w:rsid w:val="004D4458"/>
    <w:rsid w:val="004E0BF2"/>
    <w:rsid w:val="004E1D70"/>
    <w:rsid w:val="004E24D2"/>
    <w:rsid w:val="004F2BE1"/>
    <w:rsid w:val="004F5CE2"/>
    <w:rsid w:val="004F6FAB"/>
    <w:rsid w:val="005000CD"/>
    <w:rsid w:val="00500274"/>
    <w:rsid w:val="00504AC0"/>
    <w:rsid w:val="00511EC4"/>
    <w:rsid w:val="005164D0"/>
    <w:rsid w:val="005173FB"/>
    <w:rsid w:val="0052285F"/>
    <w:rsid w:val="00522993"/>
    <w:rsid w:val="00525D41"/>
    <w:rsid w:val="00533D36"/>
    <w:rsid w:val="00534A05"/>
    <w:rsid w:val="005430E5"/>
    <w:rsid w:val="00544A54"/>
    <w:rsid w:val="00545040"/>
    <w:rsid w:val="00547D9B"/>
    <w:rsid w:val="005510D7"/>
    <w:rsid w:val="00551BBB"/>
    <w:rsid w:val="00552952"/>
    <w:rsid w:val="005565F6"/>
    <w:rsid w:val="00557FFA"/>
    <w:rsid w:val="00560D6E"/>
    <w:rsid w:val="005660AD"/>
    <w:rsid w:val="005673F2"/>
    <w:rsid w:val="00567EDE"/>
    <w:rsid w:val="00570977"/>
    <w:rsid w:val="00570F34"/>
    <w:rsid w:val="00572C2E"/>
    <w:rsid w:val="00573B14"/>
    <w:rsid w:val="0057559E"/>
    <w:rsid w:val="00583DEB"/>
    <w:rsid w:val="005922DD"/>
    <w:rsid w:val="0059267C"/>
    <w:rsid w:val="00594E7F"/>
    <w:rsid w:val="005951DB"/>
    <w:rsid w:val="005A0613"/>
    <w:rsid w:val="005A3CEC"/>
    <w:rsid w:val="005A45E1"/>
    <w:rsid w:val="005A5F90"/>
    <w:rsid w:val="005B02C2"/>
    <w:rsid w:val="005C5B38"/>
    <w:rsid w:val="005C6993"/>
    <w:rsid w:val="005D0B6E"/>
    <w:rsid w:val="005D4EF4"/>
    <w:rsid w:val="005D614F"/>
    <w:rsid w:val="005D716E"/>
    <w:rsid w:val="005D7552"/>
    <w:rsid w:val="005E1BA1"/>
    <w:rsid w:val="005E5469"/>
    <w:rsid w:val="005E5C19"/>
    <w:rsid w:val="005F20D9"/>
    <w:rsid w:val="005F2A91"/>
    <w:rsid w:val="005F3514"/>
    <w:rsid w:val="005F594B"/>
    <w:rsid w:val="005F6AFB"/>
    <w:rsid w:val="0060177F"/>
    <w:rsid w:val="00603DDF"/>
    <w:rsid w:val="0060546C"/>
    <w:rsid w:val="006140C0"/>
    <w:rsid w:val="0061706B"/>
    <w:rsid w:val="006219D0"/>
    <w:rsid w:val="006231E4"/>
    <w:rsid w:val="006245DD"/>
    <w:rsid w:val="00626207"/>
    <w:rsid w:val="00630891"/>
    <w:rsid w:val="006338A6"/>
    <w:rsid w:val="0063473E"/>
    <w:rsid w:val="00634D92"/>
    <w:rsid w:val="00640F83"/>
    <w:rsid w:val="00642F6D"/>
    <w:rsid w:val="006457F4"/>
    <w:rsid w:val="00653324"/>
    <w:rsid w:val="006613C8"/>
    <w:rsid w:val="006615B3"/>
    <w:rsid w:val="00661EB9"/>
    <w:rsid w:val="00664797"/>
    <w:rsid w:val="0067061F"/>
    <w:rsid w:val="00681080"/>
    <w:rsid w:val="00681B76"/>
    <w:rsid w:val="00697D45"/>
    <w:rsid w:val="006A0715"/>
    <w:rsid w:val="006A1279"/>
    <w:rsid w:val="006A159C"/>
    <w:rsid w:val="006A26AF"/>
    <w:rsid w:val="006A2A13"/>
    <w:rsid w:val="006A43CD"/>
    <w:rsid w:val="006A56A7"/>
    <w:rsid w:val="006B0AC3"/>
    <w:rsid w:val="006B0DC7"/>
    <w:rsid w:val="006B140E"/>
    <w:rsid w:val="006B6FC3"/>
    <w:rsid w:val="006C01F1"/>
    <w:rsid w:val="006C0D5D"/>
    <w:rsid w:val="006C1952"/>
    <w:rsid w:val="006C37EB"/>
    <w:rsid w:val="006C3C26"/>
    <w:rsid w:val="006C65DE"/>
    <w:rsid w:val="006C6777"/>
    <w:rsid w:val="006D097A"/>
    <w:rsid w:val="006D48EE"/>
    <w:rsid w:val="006D74BE"/>
    <w:rsid w:val="006E096E"/>
    <w:rsid w:val="006E2609"/>
    <w:rsid w:val="006E4D47"/>
    <w:rsid w:val="006E5EF7"/>
    <w:rsid w:val="006E62C0"/>
    <w:rsid w:val="006E650A"/>
    <w:rsid w:val="006E6BCC"/>
    <w:rsid w:val="006F04AE"/>
    <w:rsid w:val="006F178A"/>
    <w:rsid w:val="006F236E"/>
    <w:rsid w:val="0070161D"/>
    <w:rsid w:val="00702C30"/>
    <w:rsid w:val="007036A9"/>
    <w:rsid w:val="00704F57"/>
    <w:rsid w:val="00710861"/>
    <w:rsid w:val="00712E7B"/>
    <w:rsid w:val="00715627"/>
    <w:rsid w:val="00716210"/>
    <w:rsid w:val="007208C4"/>
    <w:rsid w:val="0072105F"/>
    <w:rsid w:val="007232A4"/>
    <w:rsid w:val="00731514"/>
    <w:rsid w:val="00732723"/>
    <w:rsid w:val="00734CA8"/>
    <w:rsid w:val="00735FA4"/>
    <w:rsid w:val="007425C3"/>
    <w:rsid w:val="00742F4E"/>
    <w:rsid w:val="0074389A"/>
    <w:rsid w:val="00743B44"/>
    <w:rsid w:val="00747CA7"/>
    <w:rsid w:val="00750F97"/>
    <w:rsid w:val="00752F3D"/>
    <w:rsid w:val="007626EE"/>
    <w:rsid w:val="007645B9"/>
    <w:rsid w:val="0076691E"/>
    <w:rsid w:val="0076746B"/>
    <w:rsid w:val="00767B66"/>
    <w:rsid w:val="00773648"/>
    <w:rsid w:val="00775E80"/>
    <w:rsid w:val="00786EDC"/>
    <w:rsid w:val="007877B4"/>
    <w:rsid w:val="00790356"/>
    <w:rsid w:val="007903CF"/>
    <w:rsid w:val="0079333F"/>
    <w:rsid w:val="007934BA"/>
    <w:rsid w:val="00794705"/>
    <w:rsid w:val="007A19DD"/>
    <w:rsid w:val="007A4C1B"/>
    <w:rsid w:val="007A597F"/>
    <w:rsid w:val="007B270D"/>
    <w:rsid w:val="007B2BE3"/>
    <w:rsid w:val="007B322C"/>
    <w:rsid w:val="007B4C93"/>
    <w:rsid w:val="007B50AC"/>
    <w:rsid w:val="007B5465"/>
    <w:rsid w:val="007B5CB9"/>
    <w:rsid w:val="007C0017"/>
    <w:rsid w:val="007C0EEE"/>
    <w:rsid w:val="007C10D7"/>
    <w:rsid w:val="007C5625"/>
    <w:rsid w:val="007C5BA4"/>
    <w:rsid w:val="007C64BB"/>
    <w:rsid w:val="007C7DED"/>
    <w:rsid w:val="007D051B"/>
    <w:rsid w:val="007D1002"/>
    <w:rsid w:val="007D142B"/>
    <w:rsid w:val="007D225D"/>
    <w:rsid w:val="007D2406"/>
    <w:rsid w:val="007D2D39"/>
    <w:rsid w:val="007D52E0"/>
    <w:rsid w:val="007D5A04"/>
    <w:rsid w:val="007D756A"/>
    <w:rsid w:val="007E3C93"/>
    <w:rsid w:val="007E3E91"/>
    <w:rsid w:val="007E4133"/>
    <w:rsid w:val="007E612B"/>
    <w:rsid w:val="007E781C"/>
    <w:rsid w:val="007E7884"/>
    <w:rsid w:val="007E7AFB"/>
    <w:rsid w:val="007E7FEB"/>
    <w:rsid w:val="007F1667"/>
    <w:rsid w:val="007F169D"/>
    <w:rsid w:val="007F183B"/>
    <w:rsid w:val="007F4502"/>
    <w:rsid w:val="007F5EFB"/>
    <w:rsid w:val="00802EEB"/>
    <w:rsid w:val="0080394E"/>
    <w:rsid w:val="00815F57"/>
    <w:rsid w:val="00816650"/>
    <w:rsid w:val="00817587"/>
    <w:rsid w:val="008242F8"/>
    <w:rsid w:val="0083380C"/>
    <w:rsid w:val="00837837"/>
    <w:rsid w:val="008400E0"/>
    <w:rsid w:val="00846BB0"/>
    <w:rsid w:val="00846E4B"/>
    <w:rsid w:val="00847459"/>
    <w:rsid w:val="00853316"/>
    <w:rsid w:val="00855124"/>
    <w:rsid w:val="00856B53"/>
    <w:rsid w:val="00860E2D"/>
    <w:rsid w:val="00861415"/>
    <w:rsid w:val="00861B7A"/>
    <w:rsid w:val="00865A5A"/>
    <w:rsid w:val="008660AA"/>
    <w:rsid w:val="0086696B"/>
    <w:rsid w:val="00872A0D"/>
    <w:rsid w:val="008764A8"/>
    <w:rsid w:val="00882BB3"/>
    <w:rsid w:val="0088334B"/>
    <w:rsid w:val="0088393C"/>
    <w:rsid w:val="008879AB"/>
    <w:rsid w:val="00887A0C"/>
    <w:rsid w:val="00890D90"/>
    <w:rsid w:val="00893A52"/>
    <w:rsid w:val="008973A7"/>
    <w:rsid w:val="008A086F"/>
    <w:rsid w:val="008A2D8C"/>
    <w:rsid w:val="008A4E71"/>
    <w:rsid w:val="008A6B12"/>
    <w:rsid w:val="008B1347"/>
    <w:rsid w:val="008B626E"/>
    <w:rsid w:val="008B6F35"/>
    <w:rsid w:val="008B7630"/>
    <w:rsid w:val="008C196D"/>
    <w:rsid w:val="008D0C61"/>
    <w:rsid w:val="008D35CC"/>
    <w:rsid w:val="008D6810"/>
    <w:rsid w:val="008D77B3"/>
    <w:rsid w:val="008E14DA"/>
    <w:rsid w:val="008E214B"/>
    <w:rsid w:val="008E2C38"/>
    <w:rsid w:val="008F1A62"/>
    <w:rsid w:val="008F1CC9"/>
    <w:rsid w:val="008F35B2"/>
    <w:rsid w:val="008F71C5"/>
    <w:rsid w:val="008F7C73"/>
    <w:rsid w:val="00904DDB"/>
    <w:rsid w:val="00913689"/>
    <w:rsid w:val="009138BA"/>
    <w:rsid w:val="009159B9"/>
    <w:rsid w:val="00922C12"/>
    <w:rsid w:val="00926762"/>
    <w:rsid w:val="0092688C"/>
    <w:rsid w:val="009322F6"/>
    <w:rsid w:val="0093339F"/>
    <w:rsid w:val="00934E6A"/>
    <w:rsid w:val="00936764"/>
    <w:rsid w:val="0093684C"/>
    <w:rsid w:val="00936C92"/>
    <w:rsid w:val="00940286"/>
    <w:rsid w:val="009414C6"/>
    <w:rsid w:val="00941EFC"/>
    <w:rsid w:val="0094222E"/>
    <w:rsid w:val="00942476"/>
    <w:rsid w:val="009448AD"/>
    <w:rsid w:val="009450BA"/>
    <w:rsid w:val="00947CFE"/>
    <w:rsid w:val="009521B4"/>
    <w:rsid w:val="00953F68"/>
    <w:rsid w:val="00954B0B"/>
    <w:rsid w:val="009570B7"/>
    <w:rsid w:val="0096022C"/>
    <w:rsid w:val="009616F6"/>
    <w:rsid w:val="00966578"/>
    <w:rsid w:val="00967034"/>
    <w:rsid w:val="00972A09"/>
    <w:rsid w:val="00973127"/>
    <w:rsid w:val="00977A08"/>
    <w:rsid w:val="00981683"/>
    <w:rsid w:val="009835B4"/>
    <w:rsid w:val="00984D54"/>
    <w:rsid w:val="00986164"/>
    <w:rsid w:val="009873BF"/>
    <w:rsid w:val="00991594"/>
    <w:rsid w:val="009932B4"/>
    <w:rsid w:val="0099713D"/>
    <w:rsid w:val="009979DD"/>
    <w:rsid w:val="009A0566"/>
    <w:rsid w:val="009A0E84"/>
    <w:rsid w:val="009A2004"/>
    <w:rsid w:val="009A297F"/>
    <w:rsid w:val="009A326D"/>
    <w:rsid w:val="009A5842"/>
    <w:rsid w:val="009B2CAF"/>
    <w:rsid w:val="009B3A0A"/>
    <w:rsid w:val="009B4E68"/>
    <w:rsid w:val="009C4542"/>
    <w:rsid w:val="009C4D30"/>
    <w:rsid w:val="009C6083"/>
    <w:rsid w:val="009D3A81"/>
    <w:rsid w:val="009D5622"/>
    <w:rsid w:val="009D67E2"/>
    <w:rsid w:val="009D7932"/>
    <w:rsid w:val="009E0166"/>
    <w:rsid w:val="009E1EB3"/>
    <w:rsid w:val="009F47CE"/>
    <w:rsid w:val="009F4885"/>
    <w:rsid w:val="009F48EB"/>
    <w:rsid w:val="00A0138B"/>
    <w:rsid w:val="00A01876"/>
    <w:rsid w:val="00A05AB4"/>
    <w:rsid w:val="00A06C9E"/>
    <w:rsid w:val="00A06E9D"/>
    <w:rsid w:val="00A1260A"/>
    <w:rsid w:val="00A126CB"/>
    <w:rsid w:val="00A1296D"/>
    <w:rsid w:val="00A149E5"/>
    <w:rsid w:val="00A16014"/>
    <w:rsid w:val="00A20939"/>
    <w:rsid w:val="00A2128B"/>
    <w:rsid w:val="00A22E42"/>
    <w:rsid w:val="00A23DF2"/>
    <w:rsid w:val="00A24777"/>
    <w:rsid w:val="00A25AD0"/>
    <w:rsid w:val="00A27C3E"/>
    <w:rsid w:val="00A30B09"/>
    <w:rsid w:val="00A33284"/>
    <w:rsid w:val="00A33BE2"/>
    <w:rsid w:val="00A340A9"/>
    <w:rsid w:val="00A354C8"/>
    <w:rsid w:val="00A41140"/>
    <w:rsid w:val="00A41893"/>
    <w:rsid w:val="00A4205C"/>
    <w:rsid w:val="00A43390"/>
    <w:rsid w:val="00A436FC"/>
    <w:rsid w:val="00A44E2B"/>
    <w:rsid w:val="00A461A1"/>
    <w:rsid w:val="00A468F0"/>
    <w:rsid w:val="00A50148"/>
    <w:rsid w:val="00A5188A"/>
    <w:rsid w:val="00A53A7A"/>
    <w:rsid w:val="00A5564B"/>
    <w:rsid w:val="00A565FA"/>
    <w:rsid w:val="00A57785"/>
    <w:rsid w:val="00A57B17"/>
    <w:rsid w:val="00A61BCB"/>
    <w:rsid w:val="00A6287F"/>
    <w:rsid w:val="00A64CCF"/>
    <w:rsid w:val="00A65576"/>
    <w:rsid w:val="00A66FCA"/>
    <w:rsid w:val="00A70FDF"/>
    <w:rsid w:val="00A715E6"/>
    <w:rsid w:val="00A73E7E"/>
    <w:rsid w:val="00A74318"/>
    <w:rsid w:val="00A74ECB"/>
    <w:rsid w:val="00A76A98"/>
    <w:rsid w:val="00A7719F"/>
    <w:rsid w:val="00A80703"/>
    <w:rsid w:val="00A81251"/>
    <w:rsid w:val="00A81AC6"/>
    <w:rsid w:val="00A82EB7"/>
    <w:rsid w:val="00A838A2"/>
    <w:rsid w:val="00A8399F"/>
    <w:rsid w:val="00A840F3"/>
    <w:rsid w:val="00A85298"/>
    <w:rsid w:val="00A8595F"/>
    <w:rsid w:val="00A91AFE"/>
    <w:rsid w:val="00A96A17"/>
    <w:rsid w:val="00A973DF"/>
    <w:rsid w:val="00A97D73"/>
    <w:rsid w:val="00AA03EB"/>
    <w:rsid w:val="00AA18BD"/>
    <w:rsid w:val="00AA3396"/>
    <w:rsid w:val="00AA5253"/>
    <w:rsid w:val="00AA5433"/>
    <w:rsid w:val="00AA576C"/>
    <w:rsid w:val="00AA74F8"/>
    <w:rsid w:val="00AA7965"/>
    <w:rsid w:val="00AB2CC1"/>
    <w:rsid w:val="00AB794E"/>
    <w:rsid w:val="00AC00D1"/>
    <w:rsid w:val="00AC514F"/>
    <w:rsid w:val="00AC740B"/>
    <w:rsid w:val="00AD1052"/>
    <w:rsid w:val="00AD64EB"/>
    <w:rsid w:val="00AE2941"/>
    <w:rsid w:val="00AF436B"/>
    <w:rsid w:val="00AF78C1"/>
    <w:rsid w:val="00AF7A63"/>
    <w:rsid w:val="00B02935"/>
    <w:rsid w:val="00B04836"/>
    <w:rsid w:val="00B05311"/>
    <w:rsid w:val="00B1183B"/>
    <w:rsid w:val="00B160B3"/>
    <w:rsid w:val="00B2039A"/>
    <w:rsid w:val="00B21C94"/>
    <w:rsid w:val="00B2432E"/>
    <w:rsid w:val="00B263B0"/>
    <w:rsid w:val="00B27871"/>
    <w:rsid w:val="00B27A48"/>
    <w:rsid w:val="00B32FEB"/>
    <w:rsid w:val="00B33321"/>
    <w:rsid w:val="00B336C9"/>
    <w:rsid w:val="00B37420"/>
    <w:rsid w:val="00B37AD2"/>
    <w:rsid w:val="00B40FCE"/>
    <w:rsid w:val="00B420B5"/>
    <w:rsid w:val="00B4250A"/>
    <w:rsid w:val="00B43C93"/>
    <w:rsid w:val="00B51383"/>
    <w:rsid w:val="00B51C6C"/>
    <w:rsid w:val="00B53A58"/>
    <w:rsid w:val="00B55504"/>
    <w:rsid w:val="00B56832"/>
    <w:rsid w:val="00B61B6F"/>
    <w:rsid w:val="00B71FD3"/>
    <w:rsid w:val="00B736F0"/>
    <w:rsid w:val="00B828FE"/>
    <w:rsid w:val="00B865AF"/>
    <w:rsid w:val="00B92543"/>
    <w:rsid w:val="00B94C84"/>
    <w:rsid w:val="00BA2C8D"/>
    <w:rsid w:val="00BB0135"/>
    <w:rsid w:val="00BB0A6A"/>
    <w:rsid w:val="00BB0B67"/>
    <w:rsid w:val="00BB5285"/>
    <w:rsid w:val="00BB56D1"/>
    <w:rsid w:val="00BB6E5D"/>
    <w:rsid w:val="00BC2C10"/>
    <w:rsid w:val="00BC3B64"/>
    <w:rsid w:val="00BC4B62"/>
    <w:rsid w:val="00BC4D39"/>
    <w:rsid w:val="00BC5A32"/>
    <w:rsid w:val="00BC633B"/>
    <w:rsid w:val="00BC7015"/>
    <w:rsid w:val="00BD0B7D"/>
    <w:rsid w:val="00BD735A"/>
    <w:rsid w:val="00BE21EA"/>
    <w:rsid w:val="00BE33D9"/>
    <w:rsid w:val="00BF151F"/>
    <w:rsid w:val="00BF560B"/>
    <w:rsid w:val="00BF6E80"/>
    <w:rsid w:val="00C0230F"/>
    <w:rsid w:val="00C02756"/>
    <w:rsid w:val="00C04F10"/>
    <w:rsid w:val="00C05090"/>
    <w:rsid w:val="00C052DC"/>
    <w:rsid w:val="00C106D0"/>
    <w:rsid w:val="00C11CB6"/>
    <w:rsid w:val="00C15D99"/>
    <w:rsid w:val="00C1684B"/>
    <w:rsid w:val="00C20237"/>
    <w:rsid w:val="00C2055C"/>
    <w:rsid w:val="00C20EA4"/>
    <w:rsid w:val="00C232D8"/>
    <w:rsid w:val="00C253F9"/>
    <w:rsid w:val="00C27515"/>
    <w:rsid w:val="00C307C5"/>
    <w:rsid w:val="00C31CD8"/>
    <w:rsid w:val="00C3454D"/>
    <w:rsid w:val="00C37947"/>
    <w:rsid w:val="00C40346"/>
    <w:rsid w:val="00C4321B"/>
    <w:rsid w:val="00C43D95"/>
    <w:rsid w:val="00C4549D"/>
    <w:rsid w:val="00C46826"/>
    <w:rsid w:val="00C47655"/>
    <w:rsid w:val="00C47E87"/>
    <w:rsid w:val="00C50294"/>
    <w:rsid w:val="00C504C9"/>
    <w:rsid w:val="00C518CC"/>
    <w:rsid w:val="00C53962"/>
    <w:rsid w:val="00C57796"/>
    <w:rsid w:val="00C6032C"/>
    <w:rsid w:val="00C67B54"/>
    <w:rsid w:val="00C71213"/>
    <w:rsid w:val="00C7192B"/>
    <w:rsid w:val="00C72D3C"/>
    <w:rsid w:val="00C74FD0"/>
    <w:rsid w:val="00C757DB"/>
    <w:rsid w:val="00C77C04"/>
    <w:rsid w:val="00C77DAD"/>
    <w:rsid w:val="00C807C0"/>
    <w:rsid w:val="00C8283D"/>
    <w:rsid w:val="00C85C87"/>
    <w:rsid w:val="00C96382"/>
    <w:rsid w:val="00C97CCD"/>
    <w:rsid w:val="00CA22D9"/>
    <w:rsid w:val="00CA2A79"/>
    <w:rsid w:val="00CA2F86"/>
    <w:rsid w:val="00CA3F4B"/>
    <w:rsid w:val="00CA6A7A"/>
    <w:rsid w:val="00CB0026"/>
    <w:rsid w:val="00CB0232"/>
    <w:rsid w:val="00CB04CA"/>
    <w:rsid w:val="00CB1396"/>
    <w:rsid w:val="00CB5CD8"/>
    <w:rsid w:val="00CB76B3"/>
    <w:rsid w:val="00CC3C77"/>
    <w:rsid w:val="00CC447C"/>
    <w:rsid w:val="00CC5648"/>
    <w:rsid w:val="00CD0B7A"/>
    <w:rsid w:val="00CD0D57"/>
    <w:rsid w:val="00CD13C8"/>
    <w:rsid w:val="00CD31B2"/>
    <w:rsid w:val="00CD493E"/>
    <w:rsid w:val="00CD6339"/>
    <w:rsid w:val="00CD677C"/>
    <w:rsid w:val="00CE0DB5"/>
    <w:rsid w:val="00CE623C"/>
    <w:rsid w:val="00CF10FC"/>
    <w:rsid w:val="00CF26AD"/>
    <w:rsid w:val="00CF34CF"/>
    <w:rsid w:val="00CF34D1"/>
    <w:rsid w:val="00CF45B7"/>
    <w:rsid w:val="00CF7483"/>
    <w:rsid w:val="00D00795"/>
    <w:rsid w:val="00D04DF9"/>
    <w:rsid w:val="00D063CA"/>
    <w:rsid w:val="00D06626"/>
    <w:rsid w:val="00D06DF5"/>
    <w:rsid w:val="00D11438"/>
    <w:rsid w:val="00D130C3"/>
    <w:rsid w:val="00D14486"/>
    <w:rsid w:val="00D16722"/>
    <w:rsid w:val="00D16FE0"/>
    <w:rsid w:val="00D173A0"/>
    <w:rsid w:val="00D2097B"/>
    <w:rsid w:val="00D264DC"/>
    <w:rsid w:val="00D2670E"/>
    <w:rsid w:val="00D358CA"/>
    <w:rsid w:val="00D36130"/>
    <w:rsid w:val="00D40301"/>
    <w:rsid w:val="00D41C48"/>
    <w:rsid w:val="00D41D9F"/>
    <w:rsid w:val="00D425F6"/>
    <w:rsid w:val="00D440BA"/>
    <w:rsid w:val="00D455B6"/>
    <w:rsid w:val="00D45C2B"/>
    <w:rsid w:val="00D4605B"/>
    <w:rsid w:val="00D574F7"/>
    <w:rsid w:val="00D648D1"/>
    <w:rsid w:val="00D6499B"/>
    <w:rsid w:val="00D66DA0"/>
    <w:rsid w:val="00D72916"/>
    <w:rsid w:val="00D759CE"/>
    <w:rsid w:val="00D75C45"/>
    <w:rsid w:val="00D80542"/>
    <w:rsid w:val="00D80B1A"/>
    <w:rsid w:val="00D82A22"/>
    <w:rsid w:val="00D91BCA"/>
    <w:rsid w:val="00DA07B1"/>
    <w:rsid w:val="00DA48A8"/>
    <w:rsid w:val="00DA4F7E"/>
    <w:rsid w:val="00DA5A73"/>
    <w:rsid w:val="00DA60A7"/>
    <w:rsid w:val="00DA70D7"/>
    <w:rsid w:val="00DA75A4"/>
    <w:rsid w:val="00DA7E31"/>
    <w:rsid w:val="00DB0DFE"/>
    <w:rsid w:val="00DB11A3"/>
    <w:rsid w:val="00DB31F4"/>
    <w:rsid w:val="00DB3EDB"/>
    <w:rsid w:val="00DB45AE"/>
    <w:rsid w:val="00DB54AB"/>
    <w:rsid w:val="00DB5F76"/>
    <w:rsid w:val="00DB7938"/>
    <w:rsid w:val="00DC342F"/>
    <w:rsid w:val="00DC364D"/>
    <w:rsid w:val="00DC5F1B"/>
    <w:rsid w:val="00DD4C50"/>
    <w:rsid w:val="00DD50D1"/>
    <w:rsid w:val="00DD6454"/>
    <w:rsid w:val="00DD6967"/>
    <w:rsid w:val="00DE4022"/>
    <w:rsid w:val="00DE6BA9"/>
    <w:rsid w:val="00DE7A5D"/>
    <w:rsid w:val="00DF0869"/>
    <w:rsid w:val="00DF155F"/>
    <w:rsid w:val="00DF1B85"/>
    <w:rsid w:val="00DF512E"/>
    <w:rsid w:val="00DF62DF"/>
    <w:rsid w:val="00DF70B7"/>
    <w:rsid w:val="00DF7C0A"/>
    <w:rsid w:val="00DF7DCA"/>
    <w:rsid w:val="00E00365"/>
    <w:rsid w:val="00E03346"/>
    <w:rsid w:val="00E107A0"/>
    <w:rsid w:val="00E11D8B"/>
    <w:rsid w:val="00E13EB7"/>
    <w:rsid w:val="00E14374"/>
    <w:rsid w:val="00E154BE"/>
    <w:rsid w:val="00E15FDD"/>
    <w:rsid w:val="00E16109"/>
    <w:rsid w:val="00E16735"/>
    <w:rsid w:val="00E23FD9"/>
    <w:rsid w:val="00E24635"/>
    <w:rsid w:val="00E2569B"/>
    <w:rsid w:val="00E2797F"/>
    <w:rsid w:val="00E30C60"/>
    <w:rsid w:val="00E3105E"/>
    <w:rsid w:val="00E3669F"/>
    <w:rsid w:val="00E36C6F"/>
    <w:rsid w:val="00E37899"/>
    <w:rsid w:val="00E403DB"/>
    <w:rsid w:val="00E44BEC"/>
    <w:rsid w:val="00E45B4F"/>
    <w:rsid w:val="00E52F91"/>
    <w:rsid w:val="00E53A9B"/>
    <w:rsid w:val="00E546FB"/>
    <w:rsid w:val="00E5515E"/>
    <w:rsid w:val="00E567AC"/>
    <w:rsid w:val="00E57BD6"/>
    <w:rsid w:val="00E61F54"/>
    <w:rsid w:val="00E623C3"/>
    <w:rsid w:val="00E63E46"/>
    <w:rsid w:val="00E63F15"/>
    <w:rsid w:val="00E73C18"/>
    <w:rsid w:val="00E7416F"/>
    <w:rsid w:val="00E756AA"/>
    <w:rsid w:val="00E80657"/>
    <w:rsid w:val="00E84203"/>
    <w:rsid w:val="00E876BB"/>
    <w:rsid w:val="00E903E6"/>
    <w:rsid w:val="00E94205"/>
    <w:rsid w:val="00E947EC"/>
    <w:rsid w:val="00E967E0"/>
    <w:rsid w:val="00EA29CC"/>
    <w:rsid w:val="00EA6B07"/>
    <w:rsid w:val="00EB018F"/>
    <w:rsid w:val="00EB4ACB"/>
    <w:rsid w:val="00EB58BB"/>
    <w:rsid w:val="00EB6D13"/>
    <w:rsid w:val="00EC0905"/>
    <w:rsid w:val="00EC1FEB"/>
    <w:rsid w:val="00ED29AA"/>
    <w:rsid w:val="00ED2C5B"/>
    <w:rsid w:val="00ED3149"/>
    <w:rsid w:val="00ED3A26"/>
    <w:rsid w:val="00EE5262"/>
    <w:rsid w:val="00EE53F5"/>
    <w:rsid w:val="00EE62B9"/>
    <w:rsid w:val="00EE7F8C"/>
    <w:rsid w:val="00EF0779"/>
    <w:rsid w:val="00EF09A0"/>
    <w:rsid w:val="00EF0B47"/>
    <w:rsid w:val="00EF42BC"/>
    <w:rsid w:val="00EF6C3D"/>
    <w:rsid w:val="00EF75C1"/>
    <w:rsid w:val="00EF7AE5"/>
    <w:rsid w:val="00EF7F49"/>
    <w:rsid w:val="00F00D94"/>
    <w:rsid w:val="00F0239A"/>
    <w:rsid w:val="00F03B93"/>
    <w:rsid w:val="00F05E6C"/>
    <w:rsid w:val="00F1099C"/>
    <w:rsid w:val="00F111E0"/>
    <w:rsid w:val="00F11E97"/>
    <w:rsid w:val="00F12370"/>
    <w:rsid w:val="00F20FF5"/>
    <w:rsid w:val="00F234E6"/>
    <w:rsid w:val="00F23D34"/>
    <w:rsid w:val="00F253C9"/>
    <w:rsid w:val="00F270E6"/>
    <w:rsid w:val="00F32246"/>
    <w:rsid w:val="00F335B5"/>
    <w:rsid w:val="00F33E63"/>
    <w:rsid w:val="00F378C8"/>
    <w:rsid w:val="00F4023D"/>
    <w:rsid w:val="00F54A22"/>
    <w:rsid w:val="00F55A26"/>
    <w:rsid w:val="00F55E6F"/>
    <w:rsid w:val="00F5670C"/>
    <w:rsid w:val="00F57E5F"/>
    <w:rsid w:val="00F60B6A"/>
    <w:rsid w:val="00F63DC0"/>
    <w:rsid w:val="00F642C8"/>
    <w:rsid w:val="00F6488B"/>
    <w:rsid w:val="00F66583"/>
    <w:rsid w:val="00F713AB"/>
    <w:rsid w:val="00F72B1B"/>
    <w:rsid w:val="00F736DD"/>
    <w:rsid w:val="00F73889"/>
    <w:rsid w:val="00F75020"/>
    <w:rsid w:val="00F754D1"/>
    <w:rsid w:val="00F759D8"/>
    <w:rsid w:val="00F7634E"/>
    <w:rsid w:val="00F77DF4"/>
    <w:rsid w:val="00F8135D"/>
    <w:rsid w:val="00F84700"/>
    <w:rsid w:val="00F8568D"/>
    <w:rsid w:val="00F879F8"/>
    <w:rsid w:val="00F90BF8"/>
    <w:rsid w:val="00F956E8"/>
    <w:rsid w:val="00F9668E"/>
    <w:rsid w:val="00FA08E2"/>
    <w:rsid w:val="00FA1F51"/>
    <w:rsid w:val="00FA5436"/>
    <w:rsid w:val="00FA6DEC"/>
    <w:rsid w:val="00FB0050"/>
    <w:rsid w:val="00FB6DE8"/>
    <w:rsid w:val="00FB7412"/>
    <w:rsid w:val="00FB77C5"/>
    <w:rsid w:val="00FC08F0"/>
    <w:rsid w:val="00FC135A"/>
    <w:rsid w:val="00FC271B"/>
    <w:rsid w:val="00FC4462"/>
    <w:rsid w:val="00FC58AC"/>
    <w:rsid w:val="00FC630A"/>
    <w:rsid w:val="00FC7C2C"/>
    <w:rsid w:val="00FD10DF"/>
    <w:rsid w:val="00FD1D60"/>
    <w:rsid w:val="00FD4ED0"/>
    <w:rsid w:val="00FE72DE"/>
    <w:rsid w:val="00FF3760"/>
    <w:rsid w:val="00FF4851"/>
    <w:rsid w:val="00FF4E65"/>
    <w:rsid w:val="589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3EA2A3C-583C-444A-99F0-2B0EBD8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semiHidden="1" w:uiPriority="99" w:qFormat="1"/>
    <w:lsdException w:name="footer" w:qFormat="1"/>
    <w:lsdException w:name="caption" w:locked="1" w:semiHidden="1" w:unhideWhenUsed="1" w:qFormat="1"/>
    <w:lsdException w:name="annotation reference" w:semiHidden="1" w:qFormat="1"/>
    <w:lsdException w:name="page number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lang w:val="zh-C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annotation subject"/>
    <w:basedOn w:val="a4"/>
    <w:next w:val="a4"/>
    <w:semiHidden/>
    <w:rPr>
      <w:b/>
      <w:bCs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cs="Times New Roman"/>
    </w:rPr>
  </w:style>
  <w:style w:type="character" w:styleId="ad">
    <w:name w:val="Hyperlink"/>
    <w:rPr>
      <w:rFonts w:cs="Times New Roman"/>
      <w:color w:val="0000FF"/>
      <w:u w:val="single"/>
    </w:rPr>
  </w:style>
  <w:style w:type="character" w:styleId="ae">
    <w:name w:val="annotation reference"/>
    <w:semiHidden/>
    <w:qFormat/>
    <w:rPr>
      <w:rFonts w:cs="Times New Roman"/>
      <w:sz w:val="21"/>
      <w:szCs w:val="21"/>
    </w:rPr>
  </w:style>
  <w:style w:type="character" w:customStyle="1" w:styleId="DocumentMapChar">
    <w:name w:val="Document Map Char"/>
    <w:link w:val="DocumentMap1"/>
    <w:locked/>
    <w:rPr>
      <w:rFonts w:ascii="Tahoma" w:eastAsia="宋体" w:hAnsi="Tahoma" w:cs="Tahoma"/>
      <w:sz w:val="16"/>
      <w:szCs w:val="16"/>
    </w:rPr>
  </w:style>
  <w:style w:type="paragraph" w:customStyle="1" w:styleId="DocumentMap1">
    <w:name w:val="Document Map1"/>
    <w:basedOn w:val="a"/>
    <w:link w:val="DocumentMapChar"/>
    <w:qFormat/>
    <w:rPr>
      <w:rFonts w:ascii="Tahoma" w:hAnsi="Tahoma"/>
      <w:kern w:val="0"/>
      <w:sz w:val="16"/>
      <w:szCs w:val="16"/>
      <w:lang w:val="zh-CN"/>
    </w:rPr>
  </w:style>
  <w:style w:type="character" w:customStyle="1" w:styleId="HeaderChar">
    <w:name w:val="Header Char"/>
    <w:link w:val="1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">
    <w:name w:val="页眉1"/>
    <w:basedOn w:val="a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FooterChar">
    <w:name w:val="Footer Char"/>
    <w:link w:val="10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0">
    <w:name w:val="页脚1"/>
    <w:basedOn w:val="a"/>
    <w:link w:val="Footer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customStyle="1" w:styleId="BalloonTextChar">
    <w:name w:val="Balloon Text Char"/>
    <w:link w:val="BalloonText1"/>
    <w:qFormat/>
    <w:locked/>
    <w:rPr>
      <w:rFonts w:ascii="Tahoma" w:eastAsia="宋体" w:hAnsi="Tahoma" w:cs="Tahoma"/>
      <w:sz w:val="16"/>
      <w:szCs w:val="16"/>
    </w:rPr>
  </w:style>
  <w:style w:type="paragraph" w:customStyle="1" w:styleId="BalloonText1">
    <w:name w:val="Balloon Text1"/>
    <w:basedOn w:val="a"/>
    <w:link w:val="BalloonTextChar"/>
    <w:rPr>
      <w:rFonts w:ascii="Tahoma" w:hAnsi="Tahoma"/>
      <w:kern w:val="0"/>
      <w:sz w:val="16"/>
      <w:szCs w:val="16"/>
      <w:lang w:val="zh-CN"/>
    </w:rPr>
  </w:style>
  <w:style w:type="character" w:customStyle="1" w:styleId="11">
    <w:name w:val="批注引用1"/>
    <w:qFormat/>
    <w:rPr>
      <w:rFonts w:cs="Times New Roman"/>
      <w:sz w:val="21"/>
      <w:szCs w:val="21"/>
    </w:rPr>
  </w:style>
  <w:style w:type="character" w:customStyle="1" w:styleId="CommentTextChar">
    <w:name w:val="Comment Text Char"/>
    <w:link w:val="12"/>
    <w:qFormat/>
    <w:locked/>
    <w:rPr>
      <w:rFonts w:ascii="Calibri" w:eastAsia="宋体" w:hAnsi="Calibri" w:cs="Times New Roman"/>
    </w:rPr>
  </w:style>
  <w:style w:type="paragraph" w:customStyle="1" w:styleId="12">
    <w:name w:val="批注文字1"/>
    <w:basedOn w:val="a"/>
    <w:link w:val="CommentTextChar"/>
    <w:qFormat/>
    <w:pPr>
      <w:jc w:val="left"/>
    </w:pPr>
    <w:rPr>
      <w:kern w:val="0"/>
      <w:sz w:val="20"/>
      <w:szCs w:val="20"/>
      <w:lang w:val="zh-CN"/>
    </w:rPr>
  </w:style>
  <w:style w:type="character" w:customStyle="1" w:styleId="CommentSubjectChar">
    <w:name w:val="Comment Subject Char"/>
    <w:link w:val="13"/>
    <w:qFormat/>
    <w:locked/>
    <w:rPr>
      <w:rFonts w:ascii="Calibri" w:eastAsia="宋体" w:hAnsi="Calibri" w:cs="Times New Roman"/>
      <w:b/>
      <w:bCs/>
    </w:rPr>
  </w:style>
  <w:style w:type="paragraph" w:customStyle="1" w:styleId="13">
    <w:name w:val="批注主题1"/>
    <w:basedOn w:val="12"/>
    <w:next w:val="12"/>
    <w:link w:val="CommentSubjectChar"/>
    <w:qFormat/>
    <w:rPr>
      <w:b/>
      <w:bCs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Revision1">
    <w:name w:val="Revision1"/>
    <w:pPr>
      <w:spacing w:after="160" w:line="259" w:lineRule="auto"/>
    </w:pPr>
    <w:rPr>
      <w:rFonts w:ascii="Calibri" w:hAnsi="Calibri"/>
    </w:rPr>
  </w:style>
  <w:style w:type="paragraph" w:customStyle="1" w:styleId="p15">
    <w:name w:val="p15"/>
    <w:basedOn w:val="a"/>
    <w:pPr>
      <w:widowControl/>
      <w:ind w:firstLine="420"/>
    </w:pPr>
    <w:rPr>
      <w:rFonts w:cs="宋体"/>
      <w:kern w:val="0"/>
      <w:szCs w:val="21"/>
    </w:rPr>
  </w:style>
  <w:style w:type="character" w:customStyle="1" w:styleId="a9">
    <w:name w:val="页眉 字符"/>
    <w:link w:val="a8"/>
    <w:qFormat/>
    <w:locked/>
    <w:rPr>
      <w:rFonts w:ascii="Calibri" w:hAnsi="Calibri" w:cs="Times New Roman"/>
      <w:kern w:val="2"/>
      <w:sz w:val="18"/>
      <w:szCs w:val="18"/>
    </w:rPr>
  </w:style>
  <w:style w:type="paragraph" w:customStyle="1" w:styleId="Revision2">
    <w:name w:val="Revision2"/>
    <w:hidden/>
    <w:semiHidden/>
    <w:qFormat/>
    <w:pPr>
      <w:spacing w:after="160" w:line="259" w:lineRule="auto"/>
    </w:pPr>
    <w:rPr>
      <w:rFonts w:ascii="Calibri" w:hAnsi="Calibri"/>
      <w:kern w:val="2"/>
      <w:sz w:val="21"/>
      <w:szCs w:val="22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</w:pPr>
    <w:rPr>
      <w:rFonts w:ascii="Calibri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af">
    <w:name w:val="阴影正文"/>
    <w:basedOn w:val="a"/>
    <w:qFormat/>
    <w:rPr>
      <w:rFonts w:ascii="宋体" w:hAnsi="宋体"/>
      <w:i/>
      <w:szCs w:val="21"/>
    </w:rPr>
  </w:style>
  <w:style w:type="paragraph" w:customStyle="1" w:styleId="af0">
    <w:name w:val="正文文档"/>
    <w:basedOn w:val="a"/>
    <w:qFormat/>
    <w:pPr>
      <w:widowControl/>
      <w:wordWrap w:val="0"/>
      <w:spacing w:after="200" w:line="360" w:lineRule="auto"/>
      <w:ind w:firstLineChars="200" w:firstLine="560"/>
      <w:jc w:val="left"/>
    </w:pPr>
    <w:rPr>
      <w:rFonts w:ascii="Times New Roman" w:eastAsia="仿宋_GB2312" w:hAnsi="Times New Roman" w:cs="Arial"/>
      <w:kern w:val="0"/>
      <w:sz w:val="28"/>
      <w:szCs w:val="32"/>
    </w:rPr>
  </w:style>
  <w:style w:type="character" w:customStyle="1" w:styleId="15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6A726-0D34-467D-955D-673F98A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593</Words>
  <Characters>3381</Characters>
  <Application>Microsoft Office Word</Application>
  <DocSecurity>0</DocSecurity>
  <Lines>28</Lines>
  <Paragraphs>7</Paragraphs>
  <ScaleCrop>false</ScaleCrop>
  <Company>PricewaterhouseCoopers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基于企业会计准则通用分类标准</dc:title>
  <dc:creator>lenovo</dc:creator>
  <cp:lastModifiedBy>Cherry Q Chen</cp:lastModifiedBy>
  <cp:revision>5</cp:revision>
  <cp:lastPrinted>2020-09-29T10:33:00Z</cp:lastPrinted>
  <dcterms:created xsi:type="dcterms:W3CDTF">2021-01-31T10:56:00Z</dcterms:created>
  <dcterms:modified xsi:type="dcterms:W3CDTF">2021-02-01T02:42:00Z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